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bookmarkStart w:id="0" w:name="_GoBack"/>
      <w:r>
        <w:rPr>
          <w:rFonts w:hint="eastAsia" w:ascii="方正小标宋_GBK" w:hAnsi="方正小标宋_GBK" w:eastAsia="方正小标宋_GBK" w:cs="方正小标宋_GBK"/>
          <w:spacing w:val="-6"/>
          <w:sz w:val="44"/>
          <w:szCs w:val="44"/>
        </w:rPr>
        <w:t>关于《江门北-盐田港铁路货运班列补贴实施方案》</w:t>
      </w:r>
      <w:r>
        <w:rPr>
          <w:rFonts w:hint="eastAsia" w:ascii="方正小标宋_GBK" w:hAnsi="方正小标宋_GBK" w:eastAsia="方正小标宋_GBK" w:cs="方正小标宋_GBK"/>
          <w:spacing w:val="-6"/>
          <w:sz w:val="44"/>
          <w:szCs w:val="44"/>
          <w:lang w:eastAsia="zh-CN"/>
        </w:rPr>
        <w:t>（</w:t>
      </w:r>
      <w:r>
        <w:rPr>
          <w:rFonts w:hint="eastAsia" w:ascii="方正小标宋_GBK" w:hAnsi="方正小标宋_GBK" w:eastAsia="方正小标宋_GBK" w:cs="方正小标宋_GBK"/>
          <w:spacing w:val="-6"/>
          <w:sz w:val="44"/>
          <w:szCs w:val="44"/>
          <w:lang w:val="en-US" w:eastAsia="zh-CN"/>
        </w:rPr>
        <w:t>2020年修订版</w:t>
      </w:r>
      <w:r>
        <w:rPr>
          <w:rFonts w:hint="eastAsia" w:ascii="方正小标宋_GBK" w:hAnsi="方正小标宋_GBK" w:eastAsia="方正小标宋_GBK" w:cs="方正小标宋_GBK"/>
          <w:spacing w:val="-6"/>
          <w:sz w:val="44"/>
          <w:szCs w:val="44"/>
          <w:lang w:eastAsia="zh-CN"/>
        </w:rPr>
        <w:t>）</w:t>
      </w:r>
      <w:r>
        <w:rPr>
          <w:rFonts w:hint="eastAsia" w:ascii="方正小标宋_GBK" w:hAnsi="方正小标宋_GBK" w:eastAsia="方正小标宋_GBK" w:cs="方正小标宋_GBK"/>
          <w:sz w:val="44"/>
          <w:szCs w:val="44"/>
        </w:rPr>
        <w:t>的</w:t>
      </w:r>
      <w:r>
        <w:rPr>
          <w:rFonts w:hint="eastAsia" w:ascii="方正小标宋_GBK" w:hAnsi="方正小标宋_GBK" w:eastAsia="方正小标宋_GBK" w:cs="方正小标宋_GBK"/>
          <w:sz w:val="44"/>
          <w:szCs w:val="44"/>
          <w:lang w:eastAsia="zh-CN"/>
        </w:rPr>
        <w:t>修订</w:t>
      </w:r>
      <w:r>
        <w:rPr>
          <w:rFonts w:hint="eastAsia" w:ascii="方正小标宋_GBK" w:hAnsi="方正小标宋_GBK" w:eastAsia="方正小标宋_GBK" w:cs="方正小标宋_GBK"/>
          <w:sz w:val="44"/>
          <w:szCs w:val="44"/>
        </w:rPr>
        <w:t>说明</w:t>
      </w:r>
      <w:bookmarkEnd w:id="0"/>
    </w:p>
    <w:p>
      <w:pPr>
        <w:spacing w:line="560" w:lineRule="exact"/>
        <w:jc w:val="center"/>
        <w:rPr>
          <w:rFonts w:ascii="仿宋_GB2312" w:eastAsia="仿宋_GB2312"/>
          <w:sz w:val="32"/>
          <w:szCs w:val="32"/>
        </w:rPr>
      </w:pPr>
    </w:p>
    <w:p>
      <w:pPr>
        <w:spacing w:line="560" w:lineRule="exact"/>
        <w:ind w:firstLine="640"/>
        <w:jc w:val="both"/>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2018年6月，珠西物流中心开通江门北—深圳盐田港铁路集装箱货运班列（以下简称“盐田港班列”）试运行，2019年1月正式运行。2019年9月16日，市政府出台《江门北-盐田港铁路货运班列补贴实施方案》</w:t>
      </w:r>
      <w:r>
        <w:rPr>
          <w:rFonts w:hint="eastAsia" w:ascii="Times New Roman" w:hAnsi="Times New Roman" w:eastAsia="仿宋_GB2312" w:cs="Times New Roman"/>
          <w:color w:val="000000"/>
          <w:sz w:val="32"/>
          <w:szCs w:val="32"/>
          <w:highlight w:val="none"/>
          <w:lang w:eastAsia="zh-CN"/>
        </w:rPr>
        <w:t>（以下简称《方案》）</w:t>
      </w:r>
      <w:r>
        <w:rPr>
          <w:rFonts w:hint="default" w:ascii="Times New Roman" w:hAnsi="Times New Roman" w:eastAsia="仿宋_GB2312" w:cs="Times New Roman"/>
          <w:color w:val="000000"/>
          <w:sz w:val="32"/>
          <w:szCs w:val="32"/>
          <w:highlight w:val="none"/>
        </w:rPr>
        <w:t>，对</w:t>
      </w:r>
      <w:r>
        <w:rPr>
          <w:rFonts w:hint="default" w:ascii="Times New Roman" w:hAnsi="Times New Roman" w:eastAsia="仿宋_GB2312" w:cs="Times New Roman"/>
          <w:color w:val="000000"/>
          <w:sz w:val="32"/>
          <w:szCs w:val="32"/>
          <w:highlight w:val="none"/>
        </w:rPr>
        <w:t>2019年1月1日至2020年12月31日期间，具体承接从江门北到盐田港，并在江门北站使用盐田港班列的企业进行政策性补贴</w:t>
      </w:r>
      <w:r>
        <w:rPr>
          <w:rFonts w:hint="eastAsia" w:ascii="Times New Roman" w:hAnsi="Times New Roman" w:eastAsia="仿宋_GB2312" w:cs="Times New Roman"/>
          <w:color w:val="000000"/>
          <w:sz w:val="32"/>
          <w:szCs w:val="32"/>
          <w:highlight w:val="none"/>
          <w:lang w:eastAsia="zh-CN"/>
        </w:rPr>
        <w:t>。</w:t>
      </w:r>
    </w:p>
    <w:p>
      <w:pPr>
        <w:spacing w:line="560" w:lineRule="exact"/>
        <w:ind w:firstLine="640" w:firstLineChars="200"/>
        <w:rPr>
          <w:rFonts w:ascii="黑体" w:hAnsi="黑体" w:eastAsia="黑体" w:cstheme="minorEastAsia"/>
          <w:sz w:val="32"/>
          <w:szCs w:val="32"/>
        </w:rPr>
      </w:pPr>
      <w:r>
        <w:rPr>
          <w:rFonts w:hint="eastAsia" w:ascii="黑体" w:hAnsi="黑体" w:eastAsia="黑体" w:cstheme="minorEastAsia"/>
          <w:sz w:val="32"/>
          <w:szCs w:val="32"/>
        </w:rPr>
        <w:t>一、</w:t>
      </w:r>
      <w:r>
        <w:rPr>
          <w:rFonts w:hint="eastAsia" w:ascii="黑体" w:hAnsi="黑体" w:eastAsia="黑体" w:cstheme="minorEastAsia"/>
          <w:sz w:val="32"/>
          <w:szCs w:val="32"/>
          <w:lang w:eastAsia="zh-CN"/>
        </w:rPr>
        <w:t>修订</w:t>
      </w:r>
      <w:r>
        <w:rPr>
          <w:rFonts w:hint="eastAsia" w:ascii="黑体" w:hAnsi="黑体" w:eastAsia="黑体" w:cstheme="minorEastAsia"/>
          <w:sz w:val="32"/>
          <w:szCs w:val="32"/>
        </w:rPr>
        <w:t>《方案》的必要性</w:t>
      </w:r>
    </w:p>
    <w:p>
      <w:pPr>
        <w:spacing w:line="560" w:lineRule="exact"/>
        <w:ind w:firstLine="640"/>
        <w:jc w:val="both"/>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据统计，2019年运量为4,000个标箱，实施补贴777,200元；2020年1至10月达到7,014个标箱，同比增长127.3%，实施补贴1,376,400元，预计2020年全年可运送突破</w:t>
      </w:r>
      <w:r>
        <w:rPr>
          <w:rFonts w:hint="default" w:ascii="Times New Roman" w:hAnsi="Times New Roman" w:eastAsia="仿宋_GB2312" w:cs="Times New Roman"/>
          <w:color w:val="000000"/>
          <w:sz w:val="32"/>
          <w:szCs w:val="32"/>
          <w:highlight w:val="none"/>
          <w:lang w:val="en-US" w:eastAsia="zh-CN"/>
        </w:rPr>
        <w:t>8</w:t>
      </w:r>
      <w:r>
        <w:rPr>
          <w:rFonts w:hint="default" w:ascii="Times New Roman" w:hAnsi="Times New Roman" w:eastAsia="仿宋_GB2312" w:cs="Times New Roman"/>
          <w:color w:val="000000"/>
          <w:sz w:val="32"/>
          <w:szCs w:val="32"/>
          <w:highlight w:val="none"/>
        </w:rPr>
        <w:t>,000个标箱，2021年全年运送1</w:t>
      </w:r>
      <w:r>
        <w:rPr>
          <w:rFonts w:hint="eastAsia" w:ascii="Times New Roman" w:hAnsi="Times New Roman" w:eastAsia="仿宋_GB2312" w:cs="Times New Roman"/>
          <w:color w:val="000000"/>
          <w:sz w:val="32"/>
          <w:szCs w:val="32"/>
          <w:highlight w:val="none"/>
          <w:lang w:val="en-US" w:eastAsia="zh-CN"/>
        </w:rPr>
        <w:t>0</w:t>
      </w:r>
      <w:r>
        <w:rPr>
          <w:rFonts w:hint="default" w:ascii="Times New Roman" w:hAnsi="Times New Roman" w:eastAsia="仿宋_GB2312" w:cs="Times New Roman"/>
          <w:color w:val="000000"/>
          <w:sz w:val="32"/>
          <w:szCs w:val="32"/>
          <w:highlight w:val="none"/>
        </w:rPr>
        <w:t>,000个。</w:t>
      </w:r>
    </w:p>
    <w:p>
      <w:pPr>
        <w:spacing w:line="560" w:lineRule="exact"/>
        <w:ind w:firstLine="640" w:firstLineChars="200"/>
        <w:jc w:val="left"/>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经2年多来的有序运行，盐田港班列取得了肯定的经济和社会效应，江门地区及周边企业对出口货物采用铁路运输的态度已由原来的观望逐步转变为积极参与。</w:t>
      </w:r>
    </w:p>
    <w:p>
      <w:pPr>
        <w:spacing w:line="560" w:lineRule="exact"/>
        <w:ind w:firstLine="640" w:firstLineChars="200"/>
        <w:jc w:val="both"/>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目前盐田港班列仍处于市场竞争阶段，班列运费需低于公路运费才能有效吸引企业使用班列运送货物出口。目前，鹤山 到盐田港的公路拖车费用约为2100-2200元/</w:t>
      </w:r>
      <w:r>
        <w:rPr>
          <w:rFonts w:hint="eastAsia" w:ascii="Times New Roman" w:hAnsi="Times New Roman" w:eastAsia="仿宋_GB2312" w:cs="Times New Roman"/>
          <w:color w:val="000000"/>
          <w:sz w:val="32"/>
          <w:szCs w:val="32"/>
          <w:highlight w:val="none"/>
          <w:lang w:eastAsia="zh-CN"/>
        </w:rPr>
        <w:t>柜</w:t>
      </w:r>
      <w:r>
        <w:rPr>
          <w:rFonts w:hint="default" w:ascii="Times New Roman" w:hAnsi="Times New Roman" w:eastAsia="仿宋_GB2312" w:cs="Times New Roman"/>
          <w:color w:val="000000"/>
          <w:sz w:val="32"/>
          <w:szCs w:val="32"/>
          <w:highlight w:val="none"/>
        </w:rPr>
        <w:t>，且比铁路运输具备一定的时间灵活度。而采用国际陆港模式的盐田港班列，运输成本包括铁路运输费用、港口操作费以及短拖费用共约3347元，减去两地政府补贴共1200元（深圳补贴800元/</w:t>
      </w:r>
      <w:r>
        <w:rPr>
          <w:rFonts w:hint="eastAsia" w:ascii="Times New Roman" w:hAnsi="Times New Roman" w:eastAsia="仿宋_GB2312" w:cs="Times New Roman"/>
          <w:color w:val="000000"/>
          <w:sz w:val="32"/>
          <w:szCs w:val="32"/>
          <w:highlight w:val="none"/>
          <w:lang w:eastAsia="zh-CN"/>
        </w:rPr>
        <w:t>柜</w:t>
      </w:r>
      <w:r>
        <w:rPr>
          <w:rFonts w:hint="default" w:ascii="Times New Roman" w:hAnsi="Times New Roman" w:eastAsia="仿宋_GB2312" w:cs="Times New Roman"/>
          <w:color w:val="000000"/>
          <w:sz w:val="32"/>
          <w:szCs w:val="32"/>
          <w:highlight w:val="none"/>
        </w:rPr>
        <w:t>，江门400元/</w:t>
      </w:r>
      <w:r>
        <w:rPr>
          <w:rFonts w:hint="eastAsia" w:ascii="Times New Roman" w:hAnsi="Times New Roman" w:eastAsia="仿宋_GB2312" w:cs="Times New Roman"/>
          <w:color w:val="000000"/>
          <w:sz w:val="32"/>
          <w:szCs w:val="32"/>
          <w:highlight w:val="none"/>
          <w:lang w:eastAsia="zh-CN"/>
        </w:rPr>
        <w:t>柜</w:t>
      </w:r>
      <w:r>
        <w:rPr>
          <w:rFonts w:hint="default" w:ascii="Times New Roman" w:hAnsi="Times New Roman" w:eastAsia="仿宋_GB2312" w:cs="Times New Roman"/>
          <w:color w:val="000000"/>
          <w:sz w:val="32"/>
          <w:szCs w:val="32"/>
          <w:highlight w:val="none"/>
        </w:rPr>
        <w:t>），最终成本约2147元，与公路拖车费用持平。政府的政策性补贴对班列的正常运行起到重要的保障作用，也对下一步珠西物流中心发挥“一中心联通三港口”，打造“买全球、卖全球”的大型通道体系、服务大湾区的物流枢纽平台、连接珠西粤西面向大西南的通道、深化“深圳-江门”合作的窗口起到持续稳定的促进作用。</w:t>
      </w:r>
    </w:p>
    <w:p>
      <w:pPr>
        <w:spacing w:line="560" w:lineRule="exact"/>
        <w:ind w:firstLine="640" w:firstLineChars="200"/>
        <w:rPr>
          <w:rFonts w:ascii="黑体" w:hAnsi="黑体" w:eastAsia="黑体" w:cstheme="minorEastAsia"/>
          <w:sz w:val="32"/>
          <w:szCs w:val="32"/>
        </w:rPr>
      </w:pPr>
      <w:r>
        <w:rPr>
          <w:rFonts w:hint="eastAsia" w:ascii="黑体" w:hAnsi="黑体" w:eastAsia="黑体" w:cstheme="minorEastAsia"/>
          <w:sz w:val="32"/>
          <w:szCs w:val="32"/>
        </w:rPr>
        <w:t>二、征求意见及审查过程</w:t>
      </w:r>
    </w:p>
    <w:p>
      <w:pPr>
        <w:spacing w:line="560" w:lineRule="exact"/>
        <w:ind w:firstLine="640" w:firstLineChars="200"/>
        <w:rPr>
          <w:rFonts w:hint="eastAsia" w:ascii="仿宋" w:hAnsi="仿宋" w:eastAsia="仿宋_GB2312" w:cstheme="minorEastAsia"/>
          <w:sz w:val="32"/>
          <w:szCs w:val="32"/>
          <w:lang w:eastAsia="zh-CN"/>
        </w:rPr>
      </w:pPr>
      <w:r>
        <w:rPr>
          <w:rFonts w:hint="default" w:ascii="Times New Roman" w:hAnsi="Times New Roman" w:eastAsia="仿宋_GB2312" w:cs="Times New Roman"/>
          <w:color w:val="000000"/>
          <w:sz w:val="32"/>
          <w:szCs w:val="32"/>
          <w:highlight w:val="none"/>
        </w:rPr>
        <w:t>物流管委会已于</w:t>
      </w:r>
      <w:r>
        <w:rPr>
          <w:rFonts w:hint="eastAsia" w:ascii="Times New Roman" w:hAnsi="Times New Roman" w:eastAsia="仿宋_GB2312" w:cs="Times New Roman"/>
          <w:color w:val="000000"/>
          <w:sz w:val="32"/>
          <w:szCs w:val="32"/>
          <w:highlight w:val="none"/>
          <w:lang w:val="en-US" w:eastAsia="zh-CN"/>
        </w:rPr>
        <w:t>2020年</w:t>
      </w:r>
      <w:r>
        <w:rPr>
          <w:rFonts w:hint="default" w:ascii="Times New Roman" w:hAnsi="Times New Roman" w:eastAsia="仿宋_GB2312" w:cs="Times New Roman"/>
          <w:color w:val="000000"/>
          <w:sz w:val="32"/>
          <w:szCs w:val="32"/>
          <w:highlight w:val="none"/>
        </w:rPr>
        <w:t>10月下旬书面征求市税务局、市科工商务局、市财政局、市司法局4个部门的意见，并征询了法律顾问意见（详见附件2）。在汇总分析相关意见后，物流管委会对补贴实施方案进行了研究和合法性审核</w:t>
      </w:r>
      <w:r>
        <w:rPr>
          <w:rFonts w:hint="eastAsia" w:ascii="Times New Roman" w:hAnsi="Times New Roman" w:eastAsia="仿宋_GB2312" w:cs="Times New Roman"/>
          <w:color w:val="000000"/>
          <w:sz w:val="32"/>
          <w:szCs w:val="32"/>
          <w:highlight w:val="none"/>
          <w:lang w:eastAsia="zh-CN"/>
        </w:rPr>
        <w:t>。</w:t>
      </w:r>
    </w:p>
    <w:p>
      <w:pPr>
        <w:spacing w:line="560" w:lineRule="exact"/>
        <w:ind w:firstLine="640" w:firstLineChars="200"/>
        <w:rPr>
          <w:rFonts w:ascii="黑体" w:hAnsi="黑体" w:eastAsia="黑体" w:cstheme="minorEastAsia"/>
          <w:sz w:val="32"/>
          <w:szCs w:val="32"/>
        </w:rPr>
      </w:pPr>
      <w:r>
        <w:rPr>
          <w:rFonts w:hint="eastAsia" w:ascii="黑体" w:hAnsi="黑体" w:eastAsia="黑体" w:cstheme="minorEastAsia"/>
          <w:sz w:val="32"/>
          <w:szCs w:val="32"/>
        </w:rPr>
        <w:t>三、《方案》的主要内容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《方案》共九条，主要明确补贴对象范围、补贴标准和补贴方式以及申请补贴的企业提交资料清单，以及政府部门对补贴的受理、审核和发放程序，其中：</w:t>
      </w:r>
    </w:p>
    <w:p>
      <w:pPr>
        <w:spacing w:line="560" w:lineRule="exact"/>
        <w:ind w:firstLine="629"/>
        <w:rPr>
          <w:rFonts w:ascii="仿宋" w:hAnsi="仿宋" w:eastAsia="仿宋" w:cstheme="minorEastAsia"/>
          <w:sz w:val="32"/>
          <w:szCs w:val="32"/>
        </w:rPr>
      </w:pPr>
      <w:r>
        <w:rPr>
          <w:rFonts w:hint="eastAsia" w:ascii="仿宋" w:hAnsi="仿宋" w:eastAsia="仿宋"/>
          <w:sz w:val="32"/>
          <w:szCs w:val="32"/>
        </w:rPr>
        <w:t>1.补贴对象。明确自2019年1月1日起</w:t>
      </w:r>
      <w:r>
        <w:rPr>
          <w:rFonts w:hint="eastAsia" w:ascii="仿宋" w:hAnsi="仿宋" w:eastAsia="仿宋" w:cstheme="minorEastAsia"/>
          <w:sz w:val="32"/>
          <w:szCs w:val="32"/>
        </w:rPr>
        <w:t>遵守铁路货物发运规则并在江门北站使用盐田铁路班列的出口企业和物流公司。时间以《货物运单》上显示的发站承运日期为准。</w:t>
      </w:r>
    </w:p>
    <w:p>
      <w:pPr>
        <w:spacing w:line="560" w:lineRule="exact"/>
        <w:ind w:firstLine="630"/>
        <w:rPr>
          <w:rFonts w:ascii="仿宋" w:hAnsi="仿宋" w:eastAsia="仿宋" w:cstheme="minorEastAsia"/>
          <w:sz w:val="32"/>
          <w:szCs w:val="32"/>
        </w:rPr>
      </w:pPr>
      <w:r>
        <w:rPr>
          <w:rFonts w:hint="eastAsia" w:ascii="仿宋" w:hAnsi="仿宋" w:eastAsia="仿宋" w:cstheme="minorEastAsia"/>
          <w:sz w:val="32"/>
          <w:szCs w:val="32"/>
        </w:rPr>
        <w:t>2.补贴标准。分三个级别，即：</w:t>
      </w:r>
      <w:r>
        <w:rPr>
          <w:rFonts w:ascii="仿宋" w:hAnsi="仿宋" w:eastAsia="仿宋" w:cstheme="minorEastAsia"/>
          <w:sz w:val="32"/>
          <w:szCs w:val="32"/>
        </w:rPr>
        <w:t>20GP</w:t>
      </w:r>
      <w:r>
        <w:rPr>
          <w:rFonts w:hint="eastAsia" w:ascii="仿宋" w:hAnsi="仿宋" w:eastAsia="仿宋" w:cstheme="minorEastAsia"/>
          <w:sz w:val="32"/>
          <w:szCs w:val="32"/>
        </w:rPr>
        <w:t>货柜，补贴运费20</w:t>
      </w:r>
      <w:r>
        <w:rPr>
          <w:rFonts w:ascii="仿宋" w:hAnsi="仿宋" w:eastAsia="仿宋" w:cstheme="minorEastAsia"/>
          <w:sz w:val="32"/>
          <w:szCs w:val="32"/>
        </w:rPr>
        <w:t>0</w:t>
      </w:r>
      <w:r>
        <w:rPr>
          <w:rFonts w:hint="eastAsia" w:ascii="仿宋" w:hAnsi="仿宋" w:eastAsia="仿宋" w:cstheme="minorEastAsia"/>
          <w:sz w:val="32"/>
          <w:szCs w:val="32"/>
        </w:rPr>
        <w:t>元/柜；</w:t>
      </w:r>
      <w:r>
        <w:rPr>
          <w:rFonts w:ascii="仿宋" w:hAnsi="仿宋" w:eastAsia="仿宋" w:cstheme="minorEastAsia"/>
          <w:sz w:val="32"/>
          <w:szCs w:val="32"/>
        </w:rPr>
        <w:t>40GP</w:t>
      </w:r>
      <w:r>
        <w:rPr>
          <w:rFonts w:hint="eastAsia" w:ascii="仿宋" w:hAnsi="仿宋" w:eastAsia="仿宋" w:cstheme="minorEastAsia"/>
          <w:sz w:val="32"/>
          <w:szCs w:val="32"/>
        </w:rPr>
        <w:t>及其他货柜，补贴运费4</w:t>
      </w:r>
      <w:r>
        <w:rPr>
          <w:rFonts w:ascii="仿宋" w:hAnsi="仿宋" w:eastAsia="仿宋" w:cstheme="minorEastAsia"/>
          <w:sz w:val="32"/>
          <w:szCs w:val="32"/>
        </w:rPr>
        <w:t>00</w:t>
      </w:r>
      <w:r>
        <w:rPr>
          <w:rFonts w:hint="eastAsia" w:ascii="仿宋" w:hAnsi="仿宋" w:eastAsia="仿宋" w:cstheme="minorEastAsia"/>
          <w:sz w:val="32"/>
          <w:szCs w:val="32"/>
        </w:rPr>
        <w:t>元/柜。</w:t>
      </w:r>
    </w:p>
    <w:p>
      <w:pPr>
        <w:spacing w:line="560" w:lineRule="exact"/>
        <w:ind w:firstLine="630"/>
        <w:rPr>
          <w:rFonts w:ascii="仿宋" w:hAnsi="仿宋" w:eastAsia="仿宋" w:cstheme="minorEastAsia"/>
          <w:sz w:val="32"/>
          <w:szCs w:val="32"/>
        </w:rPr>
      </w:pPr>
      <w:r>
        <w:rPr>
          <w:rFonts w:hint="eastAsia" w:ascii="仿宋" w:hAnsi="仿宋" w:eastAsia="仿宋" w:cstheme="minorEastAsia"/>
          <w:sz w:val="32"/>
          <w:szCs w:val="32"/>
        </w:rPr>
        <w:t>3.申请补贴的提交资料清单审核。清单资料包括《江门北-盐田港铁路货运班列补贴申请表》、营业执照、企业法定代表人身份证明及受托人身份证明和委托书、货物运单、出口EDI数据或者盐田港出口数据，并明确了EDI数据由企业在盐田港国际物流信息服务平台</w:t>
      </w:r>
      <w:r>
        <w:rPr>
          <w:sz w:val="32"/>
          <w:szCs w:val="32"/>
        </w:rPr>
        <w:fldChar w:fldCharType="begin"/>
      </w:r>
      <w:r>
        <w:rPr>
          <w:sz w:val="32"/>
          <w:szCs w:val="32"/>
        </w:rPr>
        <w:instrText xml:space="preserve"> HYPERLINK "http://www.yesinfo.com.cn/" </w:instrText>
      </w:r>
      <w:r>
        <w:rPr>
          <w:sz w:val="32"/>
          <w:szCs w:val="32"/>
        </w:rPr>
        <w:fldChar w:fldCharType="separate"/>
      </w:r>
      <w:r>
        <w:rPr>
          <w:rFonts w:ascii="仿宋" w:hAnsi="仿宋" w:eastAsia="仿宋" w:cstheme="minorEastAsia"/>
          <w:sz w:val="32"/>
          <w:szCs w:val="32"/>
        </w:rPr>
        <w:t>http://www.yesinfo.com.cn/</w:t>
      </w:r>
      <w:r>
        <w:rPr>
          <w:rFonts w:ascii="仿宋" w:hAnsi="仿宋" w:eastAsia="仿宋" w:cstheme="minorEastAsia"/>
          <w:sz w:val="32"/>
          <w:szCs w:val="32"/>
        </w:rPr>
        <w:fldChar w:fldCharType="end"/>
      </w:r>
      <w:r>
        <w:rPr>
          <w:rFonts w:hint="eastAsia" w:ascii="仿宋" w:hAnsi="仿宋" w:eastAsia="仿宋" w:cstheme="minorEastAsia"/>
          <w:sz w:val="32"/>
          <w:szCs w:val="32"/>
        </w:rPr>
        <w:t>获取，如过期获得不了，则提供由盐田港方面确认的出口数据）</w:t>
      </w:r>
    </w:p>
    <w:p>
      <w:pPr>
        <w:spacing w:line="560" w:lineRule="exact"/>
        <w:ind w:firstLine="630"/>
        <w:rPr>
          <w:rFonts w:ascii="仿宋" w:hAnsi="仿宋" w:eastAsia="仿宋"/>
          <w:sz w:val="32"/>
          <w:szCs w:val="32"/>
        </w:rPr>
      </w:pPr>
      <w:r>
        <w:rPr>
          <w:rFonts w:hint="eastAsia" w:ascii="仿宋" w:hAnsi="仿宋" w:eastAsia="仿宋" w:cstheme="minorEastAsia"/>
          <w:sz w:val="32"/>
          <w:szCs w:val="32"/>
        </w:rPr>
        <w:t>4.补贴的受理、审核和发放。由物流管委会进行集中受理和审核查验，以及向市科工商务局报备，并提交市财政局审核和发放补贴。</w:t>
      </w:r>
    </w:p>
    <w:p>
      <w:pPr>
        <w:spacing w:line="560" w:lineRule="exact"/>
        <w:ind w:firstLine="640" w:firstLineChars="200"/>
        <w:rPr>
          <w:rFonts w:ascii="黑体" w:hAnsi="黑体" w:eastAsia="黑体" w:cstheme="minorEastAsia"/>
          <w:sz w:val="32"/>
          <w:szCs w:val="32"/>
        </w:rPr>
      </w:pPr>
      <w:r>
        <w:rPr>
          <w:rFonts w:hint="eastAsia" w:ascii="黑体" w:hAnsi="黑体" w:eastAsia="黑体" w:cstheme="minorEastAsia"/>
          <w:sz w:val="32"/>
          <w:szCs w:val="32"/>
        </w:rPr>
        <w:t>四、需要说明的问题</w:t>
      </w:r>
    </w:p>
    <w:p>
      <w:pPr>
        <w:spacing w:line="560" w:lineRule="exact"/>
        <w:ind w:firstLine="630"/>
        <w:rPr>
          <w:rFonts w:ascii="仿宋" w:hAnsi="仿宋" w:eastAsia="仿宋" w:cstheme="minorEastAsia"/>
          <w:b/>
          <w:sz w:val="32"/>
          <w:szCs w:val="32"/>
        </w:rPr>
      </w:pPr>
      <w:r>
        <w:rPr>
          <w:rFonts w:hint="eastAsia" w:ascii="仿宋" w:hAnsi="仿宋" w:eastAsia="仿宋" w:cstheme="minorEastAsia"/>
          <w:b/>
          <w:sz w:val="32"/>
          <w:szCs w:val="32"/>
        </w:rPr>
        <w:t>（一）关于补贴标准的确定</w:t>
      </w:r>
    </w:p>
    <w:p>
      <w:pPr>
        <w:spacing w:line="560" w:lineRule="exact"/>
        <w:ind w:firstLine="630"/>
        <w:rPr>
          <w:rFonts w:ascii="仿宋" w:hAnsi="仿宋" w:eastAsia="仿宋" w:cstheme="minorEastAsia"/>
          <w:sz w:val="32"/>
          <w:szCs w:val="32"/>
        </w:rPr>
      </w:pPr>
      <w:r>
        <w:rPr>
          <w:rFonts w:hint="eastAsia" w:ascii="仿宋" w:hAnsi="仿宋" w:eastAsia="仿宋" w:cstheme="minorEastAsia"/>
          <w:sz w:val="32"/>
          <w:szCs w:val="32"/>
        </w:rPr>
        <w:t>参考借鉴盐田港以及江西赣州、虎门常平的铁路班列补贴的经验做法，如：深圳市政府对20GP进行运费全程补贴400元，40GP及其他柜型全程补贴800元；赣州</w:t>
      </w:r>
      <w:r>
        <w:rPr>
          <w:rFonts w:ascii="仿宋" w:hAnsi="仿宋" w:eastAsia="仿宋" w:cstheme="minorEastAsia"/>
          <w:sz w:val="32"/>
          <w:szCs w:val="32"/>
        </w:rPr>
        <w:t>—</w:t>
      </w:r>
      <w:r>
        <w:rPr>
          <w:rFonts w:hint="eastAsia" w:ascii="仿宋" w:hAnsi="仿宋" w:eastAsia="仿宋" w:cstheme="minorEastAsia"/>
          <w:sz w:val="32"/>
          <w:szCs w:val="32"/>
        </w:rPr>
        <w:t>盐田港班列中江西省、赣州市、南康区三级单程补贴，对20GP补贴1200元，对40GP及其他柜型补贴2400元；东莞常平镇政府对班列补贴为：对20GP全程补贴60元,40GP及其他柜型全程补贴80元。</w:t>
      </w:r>
    </w:p>
    <w:p>
      <w:pPr>
        <w:spacing w:line="560" w:lineRule="exact"/>
        <w:ind w:firstLine="640" w:firstLineChars="200"/>
        <w:rPr>
          <w:rFonts w:ascii="仿宋" w:hAnsi="仿宋" w:eastAsia="仿宋" w:cstheme="minorEastAsia"/>
          <w:sz w:val="32"/>
          <w:szCs w:val="32"/>
        </w:rPr>
      </w:pPr>
      <w:r>
        <w:rPr>
          <w:rFonts w:hint="eastAsia" w:ascii="仿宋" w:hAnsi="仿宋" w:eastAsia="仿宋" w:cstheme="minorEastAsia"/>
          <w:sz w:val="32"/>
          <w:szCs w:val="32"/>
        </w:rPr>
        <w:t>结合江门北-盐田港班列的运送距离和实际运营情况，我们认为现阶段对</w:t>
      </w:r>
      <w:r>
        <w:rPr>
          <w:rFonts w:ascii="仿宋" w:hAnsi="仿宋" w:eastAsia="仿宋" w:cstheme="minorEastAsia"/>
          <w:sz w:val="32"/>
          <w:szCs w:val="32"/>
        </w:rPr>
        <w:t>20GP</w:t>
      </w:r>
      <w:r>
        <w:rPr>
          <w:rFonts w:hint="eastAsia" w:ascii="仿宋" w:hAnsi="仿宋" w:eastAsia="仿宋" w:cstheme="minorEastAsia"/>
          <w:sz w:val="32"/>
          <w:szCs w:val="32"/>
        </w:rPr>
        <w:t>货柜，补贴20</w:t>
      </w:r>
      <w:r>
        <w:rPr>
          <w:rFonts w:ascii="仿宋" w:hAnsi="仿宋" w:eastAsia="仿宋" w:cstheme="minorEastAsia"/>
          <w:sz w:val="32"/>
          <w:szCs w:val="32"/>
        </w:rPr>
        <w:t>0</w:t>
      </w:r>
      <w:r>
        <w:rPr>
          <w:rFonts w:hint="eastAsia" w:ascii="仿宋" w:hAnsi="仿宋" w:eastAsia="仿宋" w:cstheme="minorEastAsia"/>
          <w:sz w:val="32"/>
          <w:szCs w:val="32"/>
        </w:rPr>
        <w:t>元/柜，对</w:t>
      </w:r>
      <w:r>
        <w:rPr>
          <w:rFonts w:ascii="仿宋" w:hAnsi="仿宋" w:eastAsia="仿宋" w:cstheme="minorEastAsia"/>
          <w:sz w:val="32"/>
          <w:szCs w:val="32"/>
        </w:rPr>
        <w:t>40GP</w:t>
      </w:r>
      <w:r>
        <w:rPr>
          <w:rFonts w:hint="eastAsia" w:ascii="仿宋" w:hAnsi="仿宋" w:eastAsia="仿宋" w:cstheme="minorEastAsia"/>
          <w:sz w:val="32"/>
          <w:szCs w:val="32"/>
        </w:rPr>
        <w:t>货柜及其他柜，补贴运费4</w:t>
      </w:r>
      <w:r>
        <w:rPr>
          <w:rFonts w:ascii="仿宋" w:hAnsi="仿宋" w:eastAsia="仿宋" w:cstheme="minorEastAsia"/>
          <w:sz w:val="32"/>
          <w:szCs w:val="32"/>
        </w:rPr>
        <w:t>00</w:t>
      </w:r>
      <w:r>
        <w:rPr>
          <w:rFonts w:hint="eastAsia" w:ascii="仿宋" w:hAnsi="仿宋" w:eastAsia="仿宋" w:cstheme="minorEastAsia"/>
          <w:sz w:val="32"/>
          <w:szCs w:val="32"/>
        </w:rPr>
        <w:t>元/柜，让企业看到铁路集装箱班列运输的实在优惠，加速其尝试海铁联运，在一定程序上加速提升货运量，使班列运行正常化。</w:t>
      </w:r>
    </w:p>
    <w:p>
      <w:pPr>
        <w:spacing w:line="560" w:lineRule="exact"/>
        <w:ind w:firstLine="640" w:firstLineChars="200"/>
        <w:rPr>
          <w:rFonts w:ascii="仿宋" w:hAnsi="仿宋" w:eastAsia="仿宋" w:cstheme="minorEastAsia"/>
          <w:b/>
          <w:sz w:val="32"/>
          <w:szCs w:val="32"/>
        </w:rPr>
      </w:pPr>
      <w:r>
        <w:rPr>
          <w:rFonts w:hint="eastAsia" w:ascii="仿宋" w:hAnsi="仿宋" w:eastAsia="仿宋" w:cstheme="minorEastAsia"/>
          <w:b/>
          <w:sz w:val="32"/>
          <w:szCs w:val="32"/>
        </w:rPr>
        <w:t>（二）关于财政对补贴总额的估算</w:t>
      </w:r>
    </w:p>
    <w:p>
      <w:pPr>
        <w:spacing w:line="560" w:lineRule="exact"/>
        <w:ind w:firstLine="640" w:firstLineChars="200"/>
        <w:rPr>
          <w:rFonts w:ascii="仿宋" w:hAnsi="仿宋" w:eastAsia="仿宋" w:cstheme="minorEastAsia"/>
          <w:sz w:val="32"/>
          <w:szCs w:val="32"/>
        </w:rPr>
      </w:pPr>
      <w:r>
        <w:rPr>
          <w:rFonts w:hint="eastAsia" w:ascii="仿宋" w:hAnsi="仿宋" w:eastAsia="仿宋" w:cstheme="minorEastAsia"/>
          <w:sz w:val="32"/>
          <w:szCs w:val="32"/>
        </w:rPr>
        <w:t>班列补贴实施时间</w:t>
      </w:r>
      <w:r>
        <w:rPr>
          <w:rFonts w:hint="eastAsia" w:ascii="仿宋" w:hAnsi="仿宋" w:eastAsia="仿宋" w:cstheme="minorEastAsia"/>
          <w:sz w:val="32"/>
          <w:szCs w:val="32"/>
          <w:lang w:eastAsia="zh-CN"/>
        </w:rPr>
        <w:t>为</w:t>
      </w:r>
      <w:r>
        <w:rPr>
          <w:rFonts w:hint="default" w:ascii="Times New Roman" w:hAnsi="Times New Roman" w:eastAsia="仿宋_GB2312" w:cs="Times New Roman"/>
          <w:color w:val="000000" w:themeColor="text1"/>
          <w:sz w:val="32"/>
          <w:szCs w:val="32"/>
          <w14:textFill>
            <w14:solidFill>
              <w14:schemeClr w14:val="tx1"/>
            </w14:solidFill>
          </w14:textFill>
        </w:rPr>
        <w:t>2019年1月1日至202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年12月31日</w:t>
      </w:r>
      <w:r>
        <w:rPr>
          <w:rFonts w:hint="eastAsia" w:ascii="仿宋" w:hAnsi="仿宋" w:eastAsia="仿宋" w:cstheme="minorEastAsia"/>
          <w:sz w:val="32"/>
          <w:szCs w:val="32"/>
        </w:rPr>
        <w:t>。政府支付的补贴费用估算如下：</w:t>
      </w:r>
    </w:p>
    <w:p>
      <w:pPr>
        <w:spacing w:line="560" w:lineRule="exact"/>
        <w:ind w:firstLine="640" w:firstLineChars="200"/>
        <w:rPr>
          <w:rFonts w:ascii="仿宋" w:hAnsi="仿宋" w:eastAsia="仿宋" w:cstheme="minorEastAsia"/>
          <w:sz w:val="32"/>
          <w:szCs w:val="32"/>
        </w:rPr>
      </w:pPr>
      <w:r>
        <w:rPr>
          <w:rFonts w:hint="eastAsia" w:ascii="仿宋" w:hAnsi="仿宋" w:eastAsia="仿宋" w:cstheme="minorEastAsia"/>
          <w:sz w:val="32"/>
          <w:szCs w:val="32"/>
        </w:rPr>
        <w:t>1.按保守计算，按每周开运</w:t>
      </w:r>
      <w:r>
        <w:rPr>
          <w:rFonts w:ascii="仿宋" w:hAnsi="仿宋" w:eastAsia="仿宋" w:cstheme="minorEastAsia"/>
          <w:sz w:val="32"/>
          <w:szCs w:val="32"/>
        </w:rPr>
        <w:t>3</w:t>
      </w:r>
      <w:r>
        <w:rPr>
          <w:rFonts w:hint="eastAsia" w:ascii="仿宋" w:hAnsi="仿宋" w:eastAsia="仿宋" w:cstheme="minorEastAsia"/>
          <w:sz w:val="32"/>
          <w:szCs w:val="32"/>
        </w:rPr>
        <w:t>个班列、每列</w:t>
      </w:r>
      <w:r>
        <w:rPr>
          <w:rFonts w:ascii="仿宋" w:hAnsi="仿宋" w:eastAsia="仿宋" w:cstheme="minorEastAsia"/>
          <w:sz w:val="32"/>
          <w:szCs w:val="32"/>
        </w:rPr>
        <w:t>3</w:t>
      </w:r>
      <w:r>
        <w:rPr>
          <w:rFonts w:hint="eastAsia" w:ascii="仿宋" w:hAnsi="仿宋" w:eastAsia="仿宋" w:cstheme="minorEastAsia"/>
          <w:sz w:val="32"/>
          <w:szCs w:val="32"/>
        </w:rPr>
        <w:t>5车厢计算，</w:t>
      </w:r>
      <w:r>
        <w:rPr>
          <w:rFonts w:ascii="仿宋" w:hAnsi="仿宋" w:eastAsia="仿宋" w:cstheme="minorEastAsia"/>
          <w:sz w:val="32"/>
          <w:szCs w:val="32"/>
        </w:rPr>
        <w:t>40GP</w:t>
      </w:r>
      <w:r>
        <w:rPr>
          <w:rFonts w:hint="eastAsia" w:ascii="仿宋" w:hAnsi="仿宋" w:eastAsia="仿宋" w:cstheme="minorEastAsia"/>
          <w:sz w:val="32"/>
          <w:szCs w:val="32"/>
        </w:rPr>
        <w:t>货柜为一厢，两年104周，两年共需要支付补贴总费用为3×</w:t>
      </w:r>
      <w:r>
        <w:rPr>
          <w:rFonts w:ascii="仿宋" w:hAnsi="仿宋" w:eastAsia="仿宋" w:cstheme="minorEastAsia"/>
          <w:sz w:val="32"/>
          <w:szCs w:val="32"/>
        </w:rPr>
        <w:t>3</w:t>
      </w:r>
      <w:r>
        <w:rPr>
          <w:rFonts w:hint="eastAsia" w:ascii="仿宋" w:hAnsi="仿宋" w:eastAsia="仿宋" w:cstheme="minorEastAsia"/>
          <w:sz w:val="32"/>
          <w:szCs w:val="32"/>
        </w:rPr>
        <w:t>5×104×400=4,368,000元，即每年需要财政支出总额218.4万元。</w:t>
      </w:r>
    </w:p>
    <w:p>
      <w:pPr>
        <w:spacing w:line="560" w:lineRule="exact"/>
        <w:ind w:firstLine="640" w:firstLineChars="200"/>
        <w:rPr>
          <w:rFonts w:ascii="仿宋" w:hAnsi="仿宋" w:eastAsia="仿宋" w:cstheme="minorEastAsia"/>
          <w:sz w:val="32"/>
          <w:szCs w:val="32"/>
        </w:rPr>
      </w:pPr>
      <w:r>
        <w:rPr>
          <w:rFonts w:hint="eastAsia" w:ascii="仿宋" w:hAnsi="仿宋" w:eastAsia="仿宋" w:cstheme="minorEastAsia"/>
          <w:sz w:val="32"/>
          <w:szCs w:val="32"/>
        </w:rPr>
        <w:t>2.按正常运行计算，每周开运7个班列、每列35车厢计算，</w:t>
      </w:r>
      <w:r>
        <w:rPr>
          <w:rFonts w:ascii="仿宋" w:hAnsi="仿宋" w:eastAsia="仿宋" w:cstheme="minorEastAsia"/>
          <w:sz w:val="32"/>
          <w:szCs w:val="32"/>
        </w:rPr>
        <w:t>40GP</w:t>
      </w:r>
      <w:r>
        <w:rPr>
          <w:rFonts w:hint="eastAsia" w:ascii="仿宋" w:hAnsi="仿宋" w:eastAsia="仿宋" w:cstheme="minorEastAsia"/>
          <w:sz w:val="32"/>
          <w:szCs w:val="32"/>
        </w:rPr>
        <w:t>货柜为一厢，两年104周，共需要支付补贴总费用为7×</w:t>
      </w:r>
      <w:r>
        <w:rPr>
          <w:rFonts w:ascii="仿宋" w:hAnsi="仿宋" w:eastAsia="仿宋" w:cstheme="minorEastAsia"/>
          <w:sz w:val="32"/>
          <w:szCs w:val="32"/>
        </w:rPr>
        <w:t>3</w:t>
      </w:r>
      <w:r>
        <w:rPr>
          <w:rFonts w:hint="eastAsia" w:ascii="仿宋" w:hAnsi="仿宋" w:eastAsia="仿宋" w:cstheme="minorEastAsia"/>
          <w:sz w:val="32"/>
          <w:szCs w:val="32"/>
        </w:rPr>
        <w:t>5×104×400=10,192,000元，即每年需要财政支出总额为509.6万元。</w:t>
      </w:r>
    </w:p>
    <w:p>
      <w:pPr>
        <w:spacing w:line="560" w:lineRule="exact"/>
        <w:ind w:firstLine="630"/>
        <w:rPr>
          <w:rFonts w:ascii="仿宋" w:hAnsi="仿宋" w:eastAsia="仿宋" w:cstheme="minorEastAsia"/>
          <w:sz w:val="32"/>
          <w:szCs w:val="32"/>
        </w:rPr>
      </w:pPr>
      <w:r>
        <w:rPr>
          <w:rFonts w:hint="eastAsia" w:ascii="仿宋" w:hAnsi="仿宋" w:eastAsia="仿宋" w:cstheme="minorEastAsia"/>
          <w:sz w:val="32"/>
          <w:szCs w:val="32"/>
        </w:rPr>
        <w:t>补贴属于据实申请和支付，按实际开运的货运班列据实支付补贴。</w:t>
      </w:r>
    </w:p>
    <w:p>
      <w:pPr>
        <w:spacing w:line="560" w:lineRule="exact"/>
        <w:ind w:firstLine="630"/>
        <w:rPr>
          <w:rFonts w:ascii="仿宋" w:hAnsi="仿宋" w:eastAsia="仿宋" w:cstheme="minorEastAsia"/>
          <w:b/>
          <w:sz w:val="32"/>
          <w:szCs w:val="32"/>
        </w:rPr>
      </w:pPr>
      <w:r>
        <w:rPr>
          <w:rFonts w:hint="eastAsia" w:ascii="仿宋" w:hAnsi="仿宋" w:eastAsia="仿宋" w:cstheme="minorEastAsia"/>
          <w:b/>
          <w:sz w:val="32"/>
          <w:szCs w:val="32"/>
        </w:rPr>
        <w:t>（三）关于补贴费用由江门、鹤山两级政府承担</w:t>
      </w:r>
    </w:p>
    <w:p>
      <w:pPr>
        <w:spacing w:line="560" w:lineRule="exact"/>
        <w:ind w:firstLine="640" w:firstLineChars="200"/>
        <w:jc w:val="left"/>
        <w:rPr>
          <w:rFonts w:ascii="仿宋" w:hAnsi="仿宋" w:eastAsia="仿宋" w:cstheme="minorEastAsia"/>
          <w:sz w:val="32"/>
          <w:szCs w:val="32"/>
        </w:rPr>
      </w:pPr>
      <w:r>
        <w:rPr>
          <w:rFonts w:hint="eastAsia" w:ascii="仿宋" w:hAnsi="仿宋" w:eastAsia="仿宋" w:cstheme="minorEastAsia"/>
          <w:sz w:val="32"/>
          <w:szCs w:val="32"/>
        </w:rPr>
        <w:t>鉴于采用海铁联运方式的江门北-盐田港铁路集装箱班列能够为江门地区企业减轻物流成本，提高企业竞争力，有利于促进江门市经济再腾飞，建议补贴费用由江门、鹤山两级政府各承担一半。同时补贴费用由市财政局纳入财政预算，资金来源在政府性基金中解决。</w:t>
      </w:r>
    </w:p>
    <w:p>
      <w:pPr>
        <w:tabs>
          <w:tab w:val="left" w:pos="7655"/>
        </w:tabs>
        <w:spacing w:line="580" w:lineRule="exact"/>
        <w:rPr>
          <w:rFonts w:ascii="仿宋" w:hAnsi="仿宋" w:eastAsia="仿宋" w:cstheme="minorEastAsia"/>
          <w:sz w:val="32"/>
          <w:szCs w:val="32"/>
        </w:rPr>
      </w:pPr>
      <w:r>
        <w:rPr>
          <w:rFonts w:hint="eastAsia" w:ascii="仿宋" w:hAnsi="仿宋" w:eastAsia="仿宋" w:cstheme="minorEastAsia"/>
          <w:sz w:val="32"/>
          <w:szCs w:val="32"/>
        </w:rPr>
        <w:t xml:space="preserve"> </w:t>
      </w:r>
    </w:p>
    <w:sectPr>
      <w:footerReference r:id="rId4" w:type="first"/>
      <w:footerReference r:id="rId3" w:type="even"/>
      <w:pgSz w:w="11906" w:h="16838"/>
      <w:pgMar w:top="1985" w:right="1134" w:bottom="1304" w:left="1701" w:header="851" w:footer="851" w:gutter="0"/>
      <w:cols w:space="425"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34050"/>
    </w:sdtPr>
    <w:sdtContent>
      <w:p>
        <w:pPr>
          <w:pStyle w:val="5"/>
          <w:jc w:val="center"/>
        </w:pPr>
        <w:r>
          <w:fldChar w:fldCharType="begin"/>
        </w:r>
        <w:r>
          <w:instrText xml:space="preserve"> PAGE   \* MERGEFORMAT </w:instrText>
        </w:r>
        <w:r>
          <w:fldChar w:fldCharType="separate"/>
        </w:r>
        <w:r>
          <w:rPr>
            <w:lang w:val="zh-CN"/>
          </w:rPr>
          <w:t>2</w:t>
        </w:r>
        <w:r>
          <w:rPr>
            <w:lang w:val="zh-CN"/>
          </w:rPr>
          <w:fldChar w:fldCharType="end"/>
        </w:r>
      </w:p>
    </w:sdtContent>
  </w:sdt>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34049"/>
    </w:sdtPr>
    <w:sdtContent>
      <w:p>
        <w:pPr>
          <w:pStyle w:val="5"/>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309"/>
    <w:rsid w:val="00000EC8"/>
    <w:rsid w:val="00024207"/>
    <w:rsid w:val="000405A8"/>
    <w:rsid w:val="00041D4B"/>
    <w:rsid w:val="000613D2"/>
    <w:rsid w:val="0006467B"/>
    <w:rsid w:val="00073849"/>
    <w:rsid w:val="00085CA9"/>
    <w:rsid w:val="00087016"/>
    <w:rsid w:val="00093FA7"/>
    <w:rsid w:val="000E574E"/>
    <w:rsid w:val="000E6996"/>
    <w:rsid w:val="000E79B6"/>
    <w:rsid w:val="000F137A"/>
    <w:rsid w:val="001011FF"/>
    <w:rsid w:val="00101BCC"/>
    <w:rsid w:val="00106A33"/>
    <w:rsid w:val="00122771"/>
    <w:rsid w:val="00125DD1"/>
    <w:rsid w:val="00153442"/>
    <w:rsid w:val="00155131"/>
    <w:rsid w:val="0017682C"/>
    <w:rsid w:val="00187827"/>
    <w:rsid w:val="00190976"/>
    <w:rsid w:val="001B3483"/>
    <w:rsid w:val="001C0C82"/>
    <w:rsid w:val="001D1D3D"/>
    <w:rsid w:val="001D6B0C"/>
    <w:rsid w:val="001E2277"/>
    <w:rsid w:val="001E4B0C"/>
    <w:rsid w:val="001E7BB5"/>
    <w:rsid w:val="001F0330"/>
    <w:rsid w:val="002141B9"/>
    <w:rsid w:val="00221E08"/>
    <w:rsid w:val="00241B57"/>
    <w:rsid w:val="00262B0E"/>
    <w:rsid w:val="002858CD"/>
    <w:rsid w:val="0029413D"/>
    <w:rsid w:val="0029458B"/>
    <w:rsid w:val="00294A39"/>
    <w:rsid w:val="00297EF8"/>
    <w:rsid w:val="002A40F8"/>
    <w:rsid w:val="002A65F5"/>
    <w:rsid w:val="002D2410"/>
    <w:rsid w:val="002D7AD1"/>
    <w:rsid w:val="002E47EA"/>
    <w:rsid w:val="002E7D3A"/>
    <w:rsid w:val="002F273A"/>
    <w:rsid w:val="00303BFD"/>
    <w:rsid w:val="00312A74"/>
    <w:rsid w:val="00326F00"/>
    <w:rsid w:val="0033284F"/>
    <w:rsid w:val="00343935"/>
    <w:rsid w:val="0034618E"/>
    <w:rsid w:val="0035418D"/>
    <w:rsid w:val="00355274"/>
    <w:rsid w:val="00356132"/>
    <w:rsid w:val="003605D8"/>
    <w:rsid w:val="00384B26"/>
    <w:rsid w:val="003A6798"/>
    <w:rsid w:val="003B06BA"/>
    <w:rsid w:val="003C131B"/>
    <w:rsid w:val="003C6074"/>
    <w:rsid w:val="003C654F"/>
    <w:rsid w:val="003D6CE7"/>
    <w:rsid w:val="003E400F"/>
    <w:rsid w:val="003E56F6"/>
    <w:rsid w:val="003F7CF3"/>
    <w:rsid w:val="00412965"/>
    <w:rsid w:val="00426231"/>
    <w:rsid w:val="004408AD"/>
    <w:rsid w:val="00443E8C"/>
    <w:rsid w:val="00445647"/>
    <w:rsid w:val="0046774D"/>
    <w:rsid w:val="00473CE6"/>
    <w:rsid w:val="00475056"/>
    <w:rsid w:val="00476274"/>
    <w:rsid w:val="004806C9"/>
    <w:rsid w:val="00485110"/>
    <w:rsid w:val="00487E15"/>
    <w:rsid w:val="0049295E"/>
    <w:rsid w:val="004B49A3"/>
    <w:rsid w:val="004B5C2D"/>
    <w:rsid w:val="004C75CA"/>
    <w:rsid w:val="004D2749"/>
    <w:rsid w:val="004D4EF9"/>
    <w:rsid w:val="004D70BA"/>
    <w:rsid w:val="004E7E62"/>
    <w:rsid w:val="004F43D7"/>
    <w:rsid w:val="004F7BE5"/>
    <w:rsid w:val="005030AB"/>
    <w:rsid w:val="005120E2"/>
    <w:rsid w:val="00526B71"/>
    <w:rsid w:val="00536D1E"/>
    <w:rsid w:val="00551D05"/>
    <w:rsid w:val="00552DCC"/>
    <w:rsid w:val="00560E08"/>
    <w:rsid w:val="00573ADD"/>
    <w:rsid w:val="0058791A"/>
    <w:rsid w:val="005B26FA"/>
    <w:rsid w:val="005B378A"/>
    <w:rsid w:val="005C6944"/>
    <w:rsid w:val="005D30B7"/>
    <w:rsid w:val="005E79C6"/>
    <w:rsid w:val="006062A5"/>
    <w:rsid w:val="00620851"/>
    <w:rsid w:val="006304D5"/>
    <w:rsid w:val="0063520C"/>
    <w:rsid w:val="00642B1F"/>
    <w:rsid w:val="00650BDF"/>
    <w:rsid w:val="006633FD"/>
    <w:rsid w:val="00664CAB"/>
    <w:rsid w:val="006704EE"/>
    <w:rsid w:val="00674DE4"/>
    <w:rsid w:val="006A361B"/>
    <w:rsid w:val="006A6CF2"/>
    <w:rsid w:val="006D4E73"/>
    <w:rsid w:val="006D7882"/>
    <w:rsid w:val="006E1B24"/>
    <w:rsid w:val="006F4152"/>
    <w:rsid w:val="007113FE"/>
    <w:rsid w:val="007202E5"/>
    <w:rsid w:val="00727F72"/>
    <w:rsid w:val="007301E9"/>
    <w:rsid w:val="00747392"/>
    <w:rsid w:val="007604E1"/>
    <w:rsid w:val="00764A22"/>
    <w:rsid w:val="00776FE2"/>
    <w:rsid w:val="00780C16"/>
    <w:rsid w:val="00783DC0"/>
    <w:rsid w:val="007946DC"/>
    <w:rsid w:val="007C38D7"/>
    <w:rsid w:val="007C57E0"/>
    <w:rsid w:val="007D1032"/>
    <w:rsid w:val="007E0F67"/>
    <w:rsid w:val="00812D25"/>
    <w:rsid w:val="00814E91"/>
    <w:rsid w:val="00826EA3"/>
    <w:rsid w:val="0083587F"/>
    <w:rsid w:val="0083693B"/>
    <w:rsid w:val="00837ABE"/>
    <w:rsid w:val="008662BC"/>
    <w:rsid w:val="00880EC2"/>
    <w:rsid w:val="0088661C"/>
    <w:rsid w:val="00893CA1"/>
    <w:rsid w:val="0089631D"/>
    <w:rsid w:val="00897EDB"/>
    <w:rsid w:val="008A0164"/>
    <w:rsid w:val="008A4C9C"/>
    <w:rsid w:val="008A7063"/>
    <w:rsid w:val="008B4E84"/>
    <w:rsid w:val="008C07C2"/>
    <w:rsid w:val="008C1FD2"/>
    <w:rsid w:val="008D467C"/>
    <w:rsid w:val="008D579C"/>
    <w:rsid w:val="008E0967"/>
    <w:rsid w:val="008E11AA"/>
    <w:rsid w:val="008E1BA6"/>
    <w:rsid w:val="008E427A"/>
    <w:rsid w:val="008E565A"/>
    <w:rsid w:val="00901C64"/>
    <w:rsid w:val="00904C93"/>
    <w:rsid w:val="00905510"/>
    <w:rsid w:val="009064D9"/>
    <w:rsid w:val="00914002"/>
    <w:rsid w:val="00916114"/>
    <w:rsid w:val="0092097B"/>
    <w:rsid w:val="0092530C"/>
    <w:rsid w:val="009342B3"/>
    <w:rsid w:val="00936078"/>
    <w:rsid w:val="00941202"/>
    <w:rsid w:val="009707FE"/>
    <w:rsid w:val="00972838"/>
    <w:rsid w:val="00980309"/>
    <w:rsid w:val="00981914"/>
    <w:rsid w:val="00985A0C"/>
    <w:rsid w:val="009A3BB2"/>
    <w:rsid w:val="009B0A23"/>
    <w:rsid w:val="009B3BC3"/>
    <w:rsid w:val="009B5053"/>
    <w:rsid w:val="009C04DD"/>
    <w:rsid w:val="009E6BB4"/>
    <w:rsid w:val="00A00AB4"/>
    <w:rsid w:val="00A22F39"/>
    <w:rsid w:val="00A2790A"/>
    <w:rsid w:val="00A35C6C"/>
    <w:rsid w:val="00A3682A"/>
    <w:rsid w:val="00A41EDA"/>
    <w:rsid w:val="00A51EC9"/>
    <w:rsid w:val="00A70BD9"/>
    <w:rsid w:val="00A75F9D"/>
    <w:rsid w:val="00A77682"/>
    <w:rsid w:val="00A837A1"/>
    <w:rsid w:val="00A85A5E"/>
    <w:rsid w:val="00AA20DD"/>
    <w:rsid w:val="00AA26DE"/>
    <w:rsid w:val="00AA7625"/>
    <w:rsid w:val="00AB5123"/>
    <w:rsid w:val="00AC1E32"/>
    <w:rsid w:val="00AC7FC7"/>
    <w:rsid w:val="00AD0E95"/>
    <w:rsid w:val="00B028A3"/>
    <w:rsid w:val="00B31219"/>
    <w:rsid w:val="00B32CD8"/>
    <w:rsid w:val="00B36BBE"/>
    <w:rsid w:val="00B36E47"/>
    <w:rsid w:val="00B45B73"/>
    <w:rsid w:val="00B46489"/>
    <w:rsid w:val="00B53A59"/>
    <w:rsid w:val="00B663DB"/>
    <w:rsid w:val="00B764B0"/>
    <w:rsid w:val="00B84344"/>
    <w:rsid w:val="00BA1D82"/>
    <w:rsid w:val="00BD4E5C"/>
    <w:rsid w:val="00BE3899"/>
    <w:rsid w:val="00BE6E58"/>
    <w:rsid w:val="00BF5048"/>
    <w:rsid w:val="00BF7C00"/>
    <w:rsid w:val="00BF7FEE"/>
    <w:rsid w:val="00C07945"/>
    <w:rsid w:val="00C11841"/>
    <w:rsid w:val="00C13404"/>
    <w:rsid w:val="00C13A98"/>
    <w:rsid w:val="00C1608C"/>
    <w:rsid w:val="00C2005D"/>
    <w:rsid w:val="00C367CF"/>
    <w:rsid w:val="00C43F53"/>
    <w:rsid w:val="00C52E4C"/>
    <w:rsid w:val="00C57A41"/>
    <w:rsid w:val="00C62DDA"/>
    <w:rsid w:val="00C7439B"/>
    <w:rsid w:val="00C752E8"/>
    <w:rsid w:val="00C7563D"/>
    <w:rsid w:val="00C77276"/>
    <w:rsid w:val="00C90193"/>
    <w:rsid w:val="00CA131F"/>
    <w:rsid w:val="00CB0196"/>
    <w:rsid w:val="00CB1F03"/>
    <w:rsid w:val="00CC6A9B"/>
    <w:rsid w:val="00CD6C0C"/>
    <w:rsid w:val="00CE1AA5"/>
    <w:rsid w:val="00CE61F6"/>
    <w:rsid w:val="00CF6B79"/>
    <w:rsid w:val="00D31CF0"/>
    <w:rsid w:val="00D40C74"/>
    <w:rsid w:val="00D47FCD"/>
    <w:rsid w:val="00D51CB5"/>
    <w:rsid w:val="00D604AC"/>
    <w:rsid w:val="00D62349"/>
    <w:rsid w:val="00D63B56"/>
    <w:rsid w:val="00D67E3E"/>
    <w:rsid w:val="00D727CA"/>
    <w:rsid w:val="00D72841"/>
    <w:rsid w:val="00D81123"/>
    <w:rsid w:val="00D86B8C"/>
    <w:rsid w:val="00DE7265"/>
    <w:rsid w:val="00DF7A1B"/>
    <w:rsid w:val="00E0725F"/>
    <w:rsid w:val="00E201B0"/>
    <w:rsid w:val="00E2615F"/>
    <w:rsid w:val="00E2753D"/>
    <w:rsid w:val="00E3121D"/>
    <w:rsid w:val="00E3691F"/>
    <w:rsid w:val="00E37F24"/>
    <w:rsid w:val="00E6637A"/>
    <w:rsid w:val="00E71D76"/>
    <w:rsid w:val="00E736CA"/>
    <w:rsid w:val="00E9535D"/>
    <w:rsid w:val="00EA1E2B"/>
    <w:rsid w:val="00EA2633"/>
    <w:rsid w:val="00EB38D9"/>
    <w:rsid w:val="00EC7E08"/>
    <w:rsid w:val="00EC7FCF"/>
    <w:rsid w:val="00EF03D8"/>
    <w:rsid w:val="00F27ADC"/>
    <w:rsid w:val="00F36BCE"/>
    <w:rsid w:val="00F5380E"/>
    <w:rsid w:val="00F55ECB"/>
    <w:rsid w:val="00F576C2"/>
    <w:rsid w:val="00F63C39"/>
    <w:rsid w:val="00F659A1"/>
    <w:rsid w:val="00F66848"/>
    <w:rsid w:val="00F9168A"/>
    <w:rsid w:val="00FB3D1A"/>
    <w:rsid w:val="00FB60F9"/>
    <w:rsid w:val="00FC4B3A"/>
    <w:rsid w:val="00FE68DB"/>
    <w:rsid w:val="00FF242E"/>
    <w:rsid w:val="00FF552D"/>
    <w:rsid w:val="0F00329C"/>
    <w:rsid w:val="10332E47"/>
    <w:rsid w:val="12D36B17"/>
    <w:rsid w:val="16503DCF"/>
    <w:rsid w:val="1C4274A3"/>
    <w:rsid w:val="22D63150"/>
    <w:rsid w:val="63536A2E"/>
    <w:rsid w:val="67AB54C3"/>
    <w:rsid w:val="6F633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w:basedOn w:val="1"/>
    <w:link w:val="17"/>
    <w:qFormat/>
    <w:uiPriority w:val="0"/>
    <w:pPr>
      <w:spacing w:after="240"/>
      <w:jc w:val="center"/>
    </w:pPr>
    <w:rPr>
      <w:rFonts w:ascii="Times New Roman" w:hAnsi="Times New Roman" w:eastAsia="仿宋_GB2312"/>
      <w:b/>
      <w:color w:val="FF0000"/>
      <w:sz w:val="44"/>
      <w:szCs w:val="24"/>
    </w:rPr>
  </w:style>
  <w:style w:type="paragraph" w:styleId="3">
    <w:name w:val="Date"/>
    <w:basedOn w:val="1"/>
    <w:next w:val="1"/>
    <w:link w:val="16"/>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9"/>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批注框文本 Char"/>
    <w:link w:val="4"/>
    <w:semiHidden/>
    <w:qFormat/>
    <w:uiPriority w:val="99"/>
    <w:rPr>
      <w:kern w:val="2"/>
      <w:sz w:val="18"/>
      <w:szCs w:val="18"/>
    </w:rPr>
  </w:style>
  <w:style w:type="character" w:customStyle="1" w:styleId="13">
    <w:name w:val="页眉 Char"/>
    <w:link w:val="6"/>
    <w:qFormat/>
    <w:uiPriority w:val="99"/>
    <w:rPr>
      <w:kern w:val="2"/>
      <w:sz w:val="18"/>
      <w:szCs w:val="18"/>
    </w:rPr>
  </w:style>
  <w:style w:type="character" w:customStyle="1" w:styleId="14">
    <w:name w:val="页脚 Char"/>
    <w:link w:val="5"/>
    <w:qFormat/>
    <w:uiPriority w:val="99"/>
    <w:rPr>
      <w:kern w:val="2"/>
      <w:sz w:val="18"/>
      <w:szCs w:val="18"/>
    </w:rPr>
  </w:style>
  <w:style w:type="paragraph" w:customStyle="1" w:styleId="15">
    <w:name w:val="p0"/>
    <w:basedOn w:val="1"/>
    <w:qFormat/>
    <w:uiPriority w:val="0"/>
    <w:pPr>
      <w:widowControl/>
    </w:pPr>
    <w:rPr>
      <w:rFonts w:ascii="Times New Roman" w:hAnsi="Times New Roman"/>
      <w:kern w:val="0"/>
      <w:szCs w:val="21"/>
    </w:rPr>
  </w:style>
  <w:style w:type="character" w:customStyle="1" w:styleId="16">
    <w:name w:val="日期 Char"/>
    <w:link w:val="3"/>
    <w:semiHidden/>
    <w:qFormat/>
    <w:uiPriority w:val="99"/>
    <w:rPr>
      <w:kern w:val="2"/>
      <w:sz w:val="21"/>
      <w:szCs w:val="22"/>
    </w:rPr>
  </w:style>
  <w:style w:type="character" w:customStyle="1" w:styleId="17">
    <w:name w:val="正文文本 Char"/>
    <w:basedOn w:val="11"/>
    <w:link w:val="2"/>
    <w:qFormat/>
    <w:uiPriority w:val="0"/>
    <w:rPr>
      <w:rFonts w:ascii="Times New Roman" w:hAnsi="Times New Roman" w:eastAsia="仿宋_GB2312"/>
      <w:b/>
      <w:color w:val="FF0000"/>
      <w:kern w:val="2"/>
      <w:sz w:val="44"/>
      <w:szCs w:val="24"/>
    </w:rPr>
  </w:style>
  <w:style w:type="paragraph" w:styleId="18">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19">
    <w:name w:val="HTML 预设格式 Char"/>
    <w:basedOn w:val="11"/>
    <w:link w:val="7"/>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521A24-B22F-486E-A6FC-DD92D37C15B2}">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4</Pages>
  <Words>327</Words>
  <Characters>1868</Characters>
  <Lines>15</Lines>
  <Paragraphs>4</Paragraphs>
  <TotalTime>2</TotalTime>
  <ScaleCrop>false</ScaleCrop>
  <LinksUpToDate>false</LinksUpToDate>
  <CharactersWithSpaces>2191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2019-04-23T08:15:00Z</dcterms:created>
  <dc:creator>null</dc:creator>
  <cp:lastModifiedBy>张颖wingwingwing</cp:lastModifiedBy>
  <cp:lastPrinted>2021-01-26T02:26:48Z</cp:lastPrinted>
  <dcterms:modified xsi:type="dcterms:W3CDTF">2021-01-26T02:43:06Z</dcterms:modified>
  <dc:title>关于进一步规范请示公文办理程序的通知</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