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  <w:t>《鹤山市雅瑶镇江沙片区圩镇南部单元控制性详细规划》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Theme="majorEastAsia" w:hAnsiTheme="majorEastAsia" w:eastAsiaTheme="maj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28"/>
          <w:szCs w:val="28"/>
          <w:highlight w:val="none"/>
          <w:lang w:val="en-US" w:eastAsia="zh-CN"/>
        </w:rPr>
        <w:t>草案公示文件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20" w:firstLine="0" w:firstLineChars="0"/>
        <w:rPr>
          <w:rFonts w:ascii="黑体" w:hAnsi="黑体" w:eastAsia="黑体" w:cs="Times New Roman"/>
          <w:b/>
          <w:bCs/>
          <w:sz w:val="30"/>
          <w:szCs w:val="30"/>
          <w:highlight w:val="none"/>
        </w:rPr>
      </w:pPr>
      <w:r>
        <w:rPr>
          <w:rFonts w:asciiTheme="majorEastAsia" w:hAnsiTheme="majorEastAsia" w:eastAsiaTheme="majorEastAsia"/>
          <w:b/>
          <w:sz w:val="44"/>
          <w:szCs w:val="44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-1296035</wp:posOffset>
                </wp:positionH>
                <wp:positionV relativeFrom="paragraph">
                  <wp:posOffset>146050</wp:posOffset>
                </wp:positionV>
                <wp:extent cx="8920480" cy="0"/>
                <wp:effectExtent l="0" t="28575" r="13970" b="28575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2048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2.05pt;margin-top:11.5pt;height:0pt;width:702.4pt;z-index:251660288;mso-width-relative:page;mso-height-relative:page;" filled="f" stroked="t" coordsize="21600,21600" o:gfxdata="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VuKOCNkAAAALAQAADwAAAAAA&#10;AAABACAAAAAiAAAAZHJzL2Rvd25yZXYueG1sUEsBAhQAFAAAAAgAh07iQEcdGjLZAQAAnQMAAA4A&#10;AAAAAAAAAQAgAAAAKAEAAGRycy9lMm9Eb2MueG1sUEsFBgAAAAAGAAYAWQEAAHMFAAAAAA==&#10;">
                <v:fill on="f" focussize="0,0"/>
                <v:stroke weight="4.5pt" color="#000000 [3213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9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rPr>
          <w:rFonts w:ascii="黑体" w:hAnsi="黑体" w:eastAsia="黑体" w:cs="Times New Roman"/>
          <w:b/>
          <w:bCs/>
          <w:sz w:val="30"/>
          <w:szCs w:val="30"/>
          <w:highlight w:val="none"/>
        </w:rPr>
      </w:pPr>
      <w:r>
        <w:rPr>
          <w:rFonts w:hint="eastAsia" w:ascii="黑体" w:hAnsi="黑体" w:eastAsia="黑体" w:cs="Times New Roman"/>
          <w:b/>
          <w:bCs/>
          <w:sz w:val="30"/>
          <w:szCs w:val="30"/>
          <w:highlight w:val="none"/>
        </w:rPr>
        <w:t>规划背景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textAlignment w:val="auto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Cs/>
          <w:sz w:val="24"/>
          <w:szCs w:val="24"/>
          <w:highlight w:val="none"/>
        </w:rPr>
        <w:t>鹤山将围绕“全力打造中欧合作样板区”目标，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积极针对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</w:rPr>
        <w:t>江门（鹤山）战略性新兴产业园培育和发展新材料、电子信息、生物医药、高端装备制造等优质产业。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目前，为满足大园区配套服务需求，主城区城郊逐步衔接中心城区，承接大园区的居住、教育、商业等配套服务功能打造陈山坑单元等进行城镇配套板块升级延伸。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textAlignment w:val="auto"/>
        <w:rPr>
          <w:rFonts w:hint="eastAsia" w:cs="Times New Roman" w:asciiTheme="minorEastAsia" w:hAnsiTheme="minorEastAsia"/>
          <w:bCs/>
          <w:sz w:val="24"/>
          <w:szCs w:val="24"/>
          <w:highlight w:val="none"/>
        </w:rPr>
      </w:pP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圩镇南部单元作为发展成熟的雅瑶配套核心，紧靠大园区主平台朝阳工业园，为了助力大园区配套服务功能，同时配合高质量发展要求提升自身镇区的配套服务水平，落实规划范围内的工业转型改造升级以及城镇更新改造，亟待通过控规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</w:rPr>
        <w:t>编制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指导实施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rPr>
          <w:rFonts w:hint="eastAsia" w:cs="Times New Roman" w:asciiTheme="minorEastAsia" w:hAnsiTheme="minorEastAsia" w:eastAsiaTheme="minorEastAsia"/>
          <w:bCs/>
          <w:sz w:val="28"/>
          <w:szCs w:val="28"/>
          <w:highlight w:val="none"/>
          <w:lang w:eastAsia="zh-CN"/>
        </w:rPr>
      </w:pPr>
      <w:r>
        <w:drawing>
          <wp:inline distT="0" distB="0" distL="114300" distR="114300">
            <wp:extent cx="6817360" cy="3989705"/>
            <wp:effectExtent l="0" t="0" r="0" b="0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l="782" t="7440" r="423"/>
                    <a:stretch>
                      <a:fillRect/>
                    </a:stretch>
                  </pic:blipFill>
                  <pic:spPr>
                    <a:xfrm>
                      <a:off x="0" y="0"/>
                      <a:ext cx="6817360" cy="39897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rPr>
          <w:rFonts w:hint="eastAsia" w:cs="Times New Roman" w:asciiTheme="minorEastAsia" w:hAnsiTheme="minorEastAsia"/>
          <w:bCs/>
          <w:szCs w:val="21"/>
          <w:highlight w:val="none"/>
        </w:rPr>
      </w:pPr>
      <w:r>
        <w:rPr>
          <w:rFonts w:hint="eastAsia" w:cs="Times New Roman" w:asciiTheme="minorEastAsia" w:hAnsiTheme="minorEastAsia"/>
          <w:bCs/>
          <w:szCs w:val="21"/>
          <w:highlight w:val="none"/>
        </w:rPr>
        <w:t>图一</w:t>
      </w:r>
      <w:r>
        <w:rPr>
          <w:rFonts w:hint="eastAsia" w:cs="Times New Roman" w:asciiTheme="minorEastAsia" w:hAnsiTheme="minorEastAsia"/>
          <w:bCs/>
          <w:szCs w:val="21"/>
          <w:highlight w:val="none"/>
          <w:lang w:val="en-US" w:eastAsia="zh-CN"/>
        </w:rPr>
        <w:t xml:space="preserve"> </w:t>
      </w:r>
      <w:r>
        <w:rPr>
          <w:rFonts w:hint="eastAsia" w:cs="Times New Roman" w:asciiTheme="minorEastAsia" w:hAnsiTheme="minorEastAsia"/>
          <w:bCs/>
          <w:szCs w:val="21"/>
          <w:highlight w:val="none"/>
        </w:rPr>
        <w:t>规划区</w:t>
      </w:r>
      <w:r>
        <w:rPr>
          <w:rFonts w:hint="eastAsia" w:cs="Times New Roman" w:asciiTheme="minorEastAsia" w:hAnsiTheme="minorEastAsia"/>
          <w:bCs/>
          <w:szCs w:val="21"/>
          <w:highlight w:val="none"/>
          <w:lang w:val="en-US" w:eastAsia="zh-CN"/>
        </w:rPr>
        <w:t>处在</w:t>
      </w:r>
      <w:r>
        <w:rPr>
          <w:rFonts w:hint="eastAsia" w:cs="Times New Roman" w:asciiTheme="minorEastAsia" w:hAnsiTheme="minorEastAsia"/>
          <w:bCs/>
          <w:szCs w:val="21"/>
          <w:highlight w:val="none"/>
        </w:rPr>
        <w:t>鹤山市</w:t>
      </w:r>
      <w:r>
        <w:rPr>
          <w:rFonts w:hint="eastAsia" w:cs="Times New Roman" w:asciiTheme="minorEastAsia" w:hAnsiTheme="minorEastAsia"/>
          <w:bCs/>
          <w:szCs w:val="21"/>
          <w:highlight w:val="none"/>
          <w:lang w:val="en-US" w:eastAsia="zh-CN"/>
        </w:rPr>
        <w:t>主城区</w:t>
      </w:r>
      <w:r>
        <w:rPr>
          <w:rFonts w:hint="eastAsia" w:cs="Times New Roman" w:asciiTheme="minorEastAsia" w:hAnsiTheme="minorEastAsia"/>
          <w:bCs/>
          <w:szCs w:val="21"/>
          <w:highlight w:val="none"/>
        </w:rPr>
        <w:t>的位置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rPr>
          <w:rFonts w:hint="default" w:eastAsiaTheme="minorEastAsia"/>
          <w:sz w:val="48"/>
          <w:szCs w:val="48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Cs/>
          <w:szCs w:val="21"/>
          <w:highlight w:val="none"/>
          <w:lang w:eastAsia="zh-CN"/>
        </w:rPr>
        <w:t>（</w:t>
      </w:r>
      <w:r>
        <w:rPr>
          <w:rFonts w:hint="eastAsia" w:cs="Times New Roman" w:asciiTheme="minorEastAsia" w:hAnsiTheme="minorEastAsia"/>
          <w:bCs/>
          <w:szCs w:val="21"/>
          <w:highlight w:val="none"/>
          <w:lang w:val="en-US" w:eastAsia="zh-CN"/>
        </w:rPr>
        <w:t>底图出处：百度地图 GS（2023）3206号-甲测资字11111342-京ICP证030173号）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rPr>
          <w:rFonts w:asciiTheme="majorEastAsia" w:hAnsiTheme="majorEastAsia" w:eastAsiaTheme="majorEastAsia"/>
          <w:b/>
          <w:sz w:val="44"/>
          <w:szCs w:val="44"/>
          <w:highlight w:val="none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highlight w:val="none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  <w:t>《鹤山市雅瑶镇江沙片区圩镇南部单元控制性详细规划》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Theme="majorEastAsia" w:hAnsiTheme="majorEastAsia" w:eastAsiaTheme="maj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28"/>
          <w:szCs w:val="28"/>
          <w:highlight w:val="none"/>
          <w:lang w:val="en-US" w:eastAsia="zh-CN"/>
        </w:rPr>
        <w:t>草案公示文件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20" w:firstLine="0" w:firstLineChars="0"/>
        <w:rPr>
          <w:rFonts w:ascii="黑体" w:hAnsi="黑体" w:eastAsia="黑体" w:cs="Times New Roman"/>
          <w:b/>
          <w:bCs/>
          <w:sz w:val="30"/>
          <w:szCs w:val="30"/>
          <w:highlight w:val="none"/>
        </w:rPr>
      </w:pPr>
      <w:r>
        <w:rPr>
          <w:rFonts w:asciiTheme="majorEastAsia" w:hAnsiTheme="majorEastAsia" w:eastAsiaTheme="majorEastAsia"/>
          <w:b/>
          <w:sz w:val="44"/>
          <w:szCs w:val="44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-1296035</wp:posOffset>
                </wp:positionH>
                <wp:positionV relativeFrom="paragraph">
                  <wp:posOffset>146050</wp:posOffset>
                </wp:positionV>
                <wp:extent cx="8920480" cy="0"/>
                <wp:effectExtent l="0" t="28575" r="13970" b="2857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2048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2.05pt;margin-top:11.5pt;height:0pt;width:702.4pt;z-index:251661312;mso-width-relative:page;mso-height-relative:page;" filled="f" stroked="t" coordsize="21600,21600" o:gfxdata="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W4o4I2QAAAAsBAAAPAAAAAAAA&#10;AAEAIAAAACIAAABkcnMvZG93bnJldi54bWxQSwECFAAUAAAACACHTuJAXeeP+9gBAACbAwAADgAA&#10;AAAAAAABACAAAAAoAQAAZHJzL2Uyb0RvYy54bWxQSwUGAAAAAAYABgBZAQAAcgUAAAAA&#10;">
                <v:fill on="f" focussize="0,0"/>
                <v:stroke weight="4.5pt" color="#000000 [3213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9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rPr>
          <w:rFonts w:ascii="黑体" w:hAnsi="黑体" w:eastAsia="黑体" w:cs="Times New Roman"/>
          <w:b/>
          <w:bCs/>
          <w:sz w:val="30"/>
          <w:szCs w:val="30"/>
          <w:highlight w:val="none"/>
        </w:rPr>
      </w:pPr>
      <w:r>
        <w:rPr>
          <w:rFonts w:hint="eastAsia" w:ascii="黑体" w:hAnsi="黑体" w:eastAsia="黑体" w:cs="Times New Roman"/>
          <w:b/>
          <w:bCs/>
          <w:sz w:val="30"/>
          <w:szCs w:val="30"/>
          <w:highlight w:val="none"/>
        </w:rPr>
        <w:t>规划范围及现状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315" w:leftChars="150" w:firstLine="482" w:firstLineChars="200"/>
        <w:rPr>
          <w:rFonts w:asciiTheme="minorEastAsia" w:hAnsiTheme="minorEastAsia"/>
          <w:b/>
          <w:sz w:val="24"/>
          <w:szCs w:val="24"/>
          <w:highlight w:val="none"/>
        </w:rPr>
      </w:pPr>
      <w:r>
        <w:rPr>
          <w:rFonts w:hint="eastAsia" w:asciiTheme="minorEastAsia" w:hAnsiTheme="minorEastAsia"/>
          <w:b/>
          <w:sz w:val="24"/>
          <w:szCs w:val="24"/>
          <w:highlight w:val="none"/>
        </w:rPr>
        <w:t>1、规划范围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rPr>
          <w:rFonts w:hint="eastAsia" w:cs="Times New Roman" w:asciiTheme="minorEastAsia" w:hAnsiTheme="minorEastAsia"/>
          <w:bCs/>
          <w:sz w:val="24"/>
          <w:szCs w:val="24"/>
          <w:highlight w:val="none"/>
        </w:rPr>
      </w:pPr>
      <w:r>
        <w:rPr>
          <w:rFonts w:hint="eastAsia" w:cs="Times New Roman" w:asciiTheme="minorEastAsia" w:hAnsiTheme="minorEastAsia"/>
          <w:bCs/>
          <w:sz w:val="24"/>
          <w:szCs w:val="24"/>
          <w:highlight w:val="none"/>
        </w:rPr>
        <w:t>规划范围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北至雅瑶河，南接朝阳工业区顺鹤高快速路，西靠雅瑶村安宁坊，东沿富盈水产有限公司至雅瑶垃圾压缩中转站，总面积53.45ha。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/>
        <w:jc w:val="center"/>
        <w:rPr>
          <w:rFonts w:hint="eastAsia" w:cs="Times New Roman" w:asciiTheme="minorEastAsia" w:hAnsiTheme="minorEastAsia" w:eastAsiaTheme="minorEastAsia"/>
          <w:bCs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sz w:val="32"/>
          <w:szCs w:val="32"/>
          <w:highlight w:val="none"/>
          <w:lang w:val="en-US" w:eastAsia="zh-CN"/>
        </w:rPr>
        <w:drawing>
          <wp:inline distT="0" distB="0" distL="114300" distR="114300">
            <wp:extent cx="6480175" cy="4297680"/>
            <wp:effectExtent l="9525" t="9525" r="25400" b="17145"/>
            <wp:docPr id="2" name="图片 2" descr="D:/炫/0-雅瑶南部/0-图纸/区域位置图.jpg区域位置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/炫/0-雅瑶南部/0-图纸/区域位置图.jpg区域位置图"/>
                    <pic:cNvPicPr>
                      <a:picLocks noChangeAspect="1"/>
                    </pic:cNvPicPr>
                  </pic:nvPicPr>
                  <pic:blipFill>
                    <a:blip r:embed="rId6"/>
                    <a:srcRect l="8717" t="9988" r="11101" b="783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2976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rPr>
          <w:rFonts w:hint="default" w:cs="Times New Roman" w:asciiTheme="minorEastAsia" w:hAnsiTheme="minorEastAsia" w:eastAsiaTheme="minorEastAsia"/>
          <w:bCs/>
          <w:szCs w:val="21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Cs/>
          <w:szCs w:val="21"/>
          <w:highlight w:val="none"/>
        </w:rPr>
        <w:t>图</w:t>
      </w:r>
      <w:r>
        <w:rPr>
          <w:rFonts w:hint="eastAsia" w:cs="Times New Roman" w:asciiTheme="minorEastAsia" w:hAnsiTheme="minorEastAsia"/>
          <w:bCs/>
          <w:szCs w:val="21"/>
          <w:highlight w:val="none"/>
          <w:lang w:val="en-US" w:eastAsia="zh-CN"/>
        </w:rPr>
        <w:t xml:space="preserve">二 </w:t>
      </w:r>
      <w:r>
        <w:rPr>
          <w:rFonts w:hint="eastAsia" w:cs="Times New Roman" w:asciiTheme="minorEastAsia" w:hAnsiTheme="minorEastAsia"/>
          <w:bCs/>
          <w:szCs w:val="21"/>
          <w:highlight w:val="none"/>
        </w:rPr>
        <w:t>规划</w:t>
      </w:r>
      <w:r>
        <w:rPr>
          <w:rFonts w:hint="eastAsia" w:cs="Times New Roman" w:asciiTheme="minorEastAsia" w:hAnsiTheme="minorEastAsia"/>
          <w:bCs/>
          <w:szCs w:val="21"/>
          <w:highlight w:val="none"/>
          <w:lang w:val="en-US" w:eastAsia="zh-CN"/>
        </w:rPr>
        <w:t>范围示意图（底图出处：《鹤山市国土空间总体规划（2021-2035 年）》（报批稿））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525" w:rightChars="250"/>
        <w:jc w:val="center"/>
        <w:rPr>
          <w:rFonts w:hint="eastAsia" w:cs="Times New Roman" w:asciiTheme="minorEastAsia" w:hAnsiTheme="minorEastAsia" w:eastAsiaTheme="minorEastAsia"/>
          <w:bCs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highlight w:val="none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  <w:t>《鹤山市雅瑶镇江沙片区圩镇南部单元控制性详细规划》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Theme="majorEastAsia" w:hAnsiTheme="majorEastAsia" w:eastAsiaTheme="maj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28"/>
          <w:szCs w:val="28"/>
          <w:highlight w:val="none"/>
          <w:lang w:val="en-US" w:eastAsia="zh-CN"/>
        </w:rPr>
        <w:t>草案公示文件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20" w:firstLine="0" w:firstLineChars="0"/>
        <w:rPr>
          <w:rFonts w:ascii="黑体" w:hAnsi="黑体" w:eastAsia="黑体" w:cs="Times New Roman"/>
          <w:b/>
          <w:bCs/>
          <w:sz w:val="30"/>
          <w:szCs w:val="30"/>
          <w:highlight w:val="none"/>
        </w:rPr>
      </w:pPr>
      <w:r>
        <w:rPr>
          <w:rFonts w:asciiTheme="majorEastAsia" w:hAnsiTheme="majorEastAsia" w:eastAsiaTheme="majorEastAsia"/>
          <w:b/>
          <w:sz w:val="44"/>
          <w:szCs w:val="44"/>
          <w:highlight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-1296035</wp:posOffset>
                </wp:positionH>
                <wp:positionV relativeFrom="paragraph">
                  <wp:posOffset>146050</wp:posOffset>
                </wp:positionV>
                <wp:extent cx="8920480" cy="0"/>
                <wp:effectExtent l="0" t="28575" r="13970" b="28575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2048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2.05pt;margin-top:11.5pt;height:0pt;width:702.4pt;z-index:251662336;mso-width-relative:page;mso-height-relative:page;" filled="f" stroked="t" coordsize="21600,21600" o:gfxdata="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VuKOCNkAAAALAQAADwAAAAAA&#10;AAABACAAAAAiAAAAZHJzL2Rvd25yZXYueG1sUEsBAhQAFAAAAAgAh07iQGoX68nZAQAAnQMAAA4A&#10;AAAAAAAAAQAgAAAAKAEAAGRycy9lMm9Eb2MueG1sUEsFBgAAAAAGAAYAWQEAAHMFAAAAAA==&#10;">
                <v:fill on="f" focussize="0,0"/>
                <v:stroke weight="4.5pt" color="#000000 [3213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315" w:leftChars="150" w:firstLine="482" w:firstLineChars="200"/>
        <w:rPr>
          <w:rFonts w:asciiTheme="minorEastAsia" w:hAnsiTheme="minorEastAsia"/>
          <w:b/>
          <w:sz w:val="24"/>
          <w:szCs w:val="24"/>
          <w:highlight w:val="none"/>
        </w:rPr>
      </w:pPr>
      <w:r>
        <w:rPr>
          <w:rFonts w:hint="eastAsia" w:asciiTheme="minorEastAsia" w:hAnsiTheme="minorEastAsia"/>
          <w:b/>
          <w:sz w:val="24"/>
          <w:szCs w:val="24"/>
          <w:highlight w:val="none"/>
        </w:rPr>
        <w:t>2、土地利用现状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rPr>
          <w:rFonts w:cs="Times New Roman" w:asciiTheme="minorEastAsia" w:hAnsiTheme="minorEastAsia"/>
          <w:bCs/>
          <w:sz w:val="24"/>
          <w:szCs w:val="24"/>
          <w:highlight w:val="none"/>
        </w:rPr>
      </w:pPr>
      <w:r>
        <w:rPr>
          <w:rFonts w:hint="eastAsia" w:cs="Times New Roman" w:asciiTheme="minorEastAsia" w:hAnsiTheme="minorEastAsia"/>
          <w:bCs/>
          <w:sz w:val="24"/>
          <w:szCs w:val="24"/>
          <w:highlight w:val="none"/>
        </w:rPr>
        <w:t>现状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用地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</w:rPr>
        <w:t>以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建设用地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</w:rPr>
        <w:t>为主，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其中东部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</w:rPr>
        <w:t>主要为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二类工业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</w:rPr>
        <w:t>用地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eastAsia="zh-CN"/>
        </w:rPr>
        <w:t>（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100102），西部主要为商业服务业用地（09）、农村宅基地（0703）和农村社区服务设施用地（0704）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eastAsia="zh-CN"/>
        </w:rPr>
        <w:t>；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东南部和西部主要为耕地（01）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Cs/>
          <w:sz w:val="24"/>
          <w:szCs w:val="24"/>
          <w:highlight w:val="none"/>
        </w:rPr>
        <w:t>现状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外部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</w:rPr>
        <w:t>道路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主要为省道S272（江沙公路）、顺鹤高快速路；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rPr>
          <w:rFonts w:hint="eastAsia" w:cs="Times New Roman" w:asciiTheme="minorEastAsia" w:hAnsiTheme="minorEastAsia" w:eastAsiaTheme="minorEastAsia"/>
          <w:bCs/>
          <w:sz w:val="24"/>
          <w:szCs w:val="24"/>
          <w:highlight w:val="none"/>
          <w:lang w:eastAsia="zh-CN"/>
        </w:rPr>
      </w:pP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内部主要为中心路、为民路和工业街等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4502150</wp:posOffset>
            </wp:positionH>
            <wp:positionV relativeFrom="paragraph">
              <wp:posOffset>3966845</wp:posOffset>
            </wp:positionV>
            <wp:extent cx="2182495" cy="1694815"/>
            <wp:effectExtent l="9525" t="9525" r="17780" b="10160"/>
            <wp:wrapNone/>
            <wp:docPr id="20" name="图片 20" descr="D:/炫/0-雅瑶南部/0-图纸/现状图.jpg现状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D:/炫/0-雅瑶南部/0-图纸/现状图.jpg现状图"/>
                    <pic:cNvPicPr>
                      <a:picLocks noChangeAspect="1"/>
                    </pic:cNvPicPr>
                  </pic:nvPicPr>
                  <pic:blipFill>
                    <a:blip r:embed="rId7"/>
                    <a:srcRect l="73312" t="52904" r="3180" b="21274"/>
                    <a:stretch>
                      <a:fillRect/>
                    </a:stretch>
                  </pic:blipFill>
                  <pic:spPr>
                    <a:xfrm>
                      <a:off x="0" y="0"/>
                      <a:ext cx="2182495" cy="16948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  <w:drawing>
          <wp:inline distT="0" distB="0" distL="114300" distR="114300">
            <wp:extent cx="6480175" cy="5653405"/>
            <wp:effectExtent l="9525" t="9525" r="25400" b="13970"/>
            <wp:docPr id="10" name="图片 10" descr="D:/炫/0-雅瑶南部/0-图纸/现状图.jpg现状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:/炫/0-雅瑶南部/0-图纸/现状图.jpg现状图"/>
                    <pic:cNvPicPr>
                      <a:picLocks noChangeAspect="1"/>
                    </pic:cNvPicPr>
                  </pic:nvPicPr>
                  <pic:blipFill>
                    <a:blip r:embed="rId7"/>
                    <a:srcRect l="3237" t="10482" r="26771" b="308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56534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rPr>
          <w:rFonts w:cs="Times New Roman" w:asciiTheme="minorEastAsia" w:hAnsiTheme="minorEastAsia"/>
          <w:bCs/>
          <w:szCs w:val="21"/>
          <w:highlight w:val="none"/>
        </w:rPr>
      </w:pPr>
      <w:r>
        <w:rPr>
          <w:rFonts w:hint="eastAsia" w:cs="Times New Roman" w:asciiTheme="minorEastAsia" w:hAnsiTheme="minorEastAsia"/>
          <w:bCs/>
          <w:szCs w:val="21"/>
          <w:highlight w:val="none"/>
        </w:rPr>
        <w:t>图</w:t>
      </w:r>
      <w:r>
        <w:rPr>
          <w:rFonts w:hint="eastAsia" w:cs="Times New Roman" w:asciiTheme="minorEastAsia" w:hAnsiTheme="minorEastAsia"/>
          <w:bCs/>
          <w:szCs w:val="21"/>
          <w:highlight w:val="none"/>
          <w:lang w:val="en-US" w:eastAsia="zh-CN"/>
        </w:rPr>
        <w:t>三 国土空间用地用海</w:t>
      </w:r>
      <w:r>
        <w:rPr>
          <w:rFonts w:hint="eastAsia" w:cs="Times New Roman" w:asciiTheme="minorEastAsia" w:hAnsiTheme="minorEastAsia"/>
          <w:bCs/>
          <w:szCs w:val="21"/>
          <w:highlight w:val="none"/>
        </w:rPr>
        <w:t>现状图</w:t>
      </w:r>
      <w:r>
        <w:rPr>
          <w:rFonts w:hint="eastAsia" w:cs="Times New Roman" w:asciiTheme="minorEastAsia" w:hAnsiTheme="minorEastAsia"/>
          <w:bCs/>
          <w:szCs w:val="21"/>
          <w:highlight w:val="none"/>
          <w:lang w:val="en-US" w:eastAsia="zh-CN"/>
        </w:rPr>
        <w:t>（底图出处：《鹤山市国土空间总体规划（2021-2035 年）》（报批稿））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rPr>
          <w:rFonts w:hint="eastAsia" w:asciiTheme="majorEastAsia" w:hAnsiTheme="majorEastAsia" w:eastAsiaTheme="majorEastAsia"/>
          <w:b/>
          <w:sz w:val="44"/>
          <w:szCs w:val="44"/>
          <w:highlight w:val="none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highlight w:val="none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  <w:t>《鹤山市雅瑶镇江沙片区圩镇南部单元控制性详细规划》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Theme="majorEastAsia" w:hAnsiTheme="majorEastAsia" w:eastAsiaTheme="maj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28"/>
          <w:szCs w:val="28"/>
          <w:highlight w:val="none"/>
          <w:lang w:val="en-US" w:eastAsia="zh-CN"/>
        </w:rPr>
        <w:t>草案公示文件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20" w:firstLine="0" w:firstLineChars="0"/>
        <w:rPr>
          <w:rFonts w:ascii="黑体" w:hAnsi="黑体" w:eastAsia="黑体" w:cs="Times New Roman"/>
          <w:b/>
          <w:bCs/>
          <w:sz w:val="30"/>
          <w:szCs w:val="30"/>
          <w:highlight w:val="none"/>
        </w:rPr>
      </w:pPr>
      <w:r>
        <w:rPr>
          <w:rFonts w:asciiTheme="majorEastAsia" w:hAnsiTheme="majorEastAsia" w:eastAsiaTheme="majorEastAsia"/>
          <w:b/>
          <w:sz w:val="44"/>
          <w:szCs w:val="44"/>
          <w:highlight w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-1296035</wp:posOffset>
                </wp:positionH>
                <wp:positionV relativeFrom="paragraph">
                  <wp:posOffset>146050</wp:posOffset>
                </wp:positionV>
                <wp:extent cx="8920480" cy="0"/>
                <wp:effectExtent l="0" t="28575" r="13970" b="28575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2048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2.05pt;margin-top:11.5pt;height:0pt;width:702.4pt;z-index:251663360;mso-width-relative:page;mso-height-relative:page;" filled="f" stroked="t" coordsize="21600,21600" o:gfxdata="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VuKOCNkAAAALAQAADwAAAAAA&#10;AAABACAAAAAiAAAAZHJzL2Rvd25yZXYueG1sUEsBAhQAFAAAAAgAh07iQDYSaxvZAQAAnQMAAA4A&#10;AAAAAAAAAQAgAAAAKAEAAGRycy9lMm9Eb2MueG1sUEsFBgAAAAAGAAYAWQEAAHMFAAAAAA==&#10;">
                <v:fill on="f" focussize="0,0"/>
                <v:stroke weight="4.5pt" color="#000000 [3213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9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rPr>
          <w:rFonts w:ascii="黑体" w:hAnsi="黑体" w:eastAsia="黑体" w:cs="Times New Roman"/>
          <w:b/>
          <w:bCs/>
          <w:sz w:val="30"/>
          <w:szCs w:val="30"/>
          <w:highlight w:val="none"/>
        </w:rPr>
      </w:pPr>
      <w:r>
        <w:rPr>
          <w:rFonts w:hint="eastAsia" w:ascii="黑体" w:hAnsi="黑体" w:eastAsia="黑体" w:cs="Times New Roman"/>
          <w:b/>
          <w:bCs/>
          <w:sz w:val="30"/>
          <w:szCs w:val="30"/>
          <w:highlight w:val="none"/>
        </w:rPr>
        <w:t>规划内容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315" w:leftChars="150" w:firstLine="482" w:firstLineChars="200"/>
        <w:rPr>
          <w:rFonts w:asciiTheme="minorEastAsia" w:hAnsiTheme="minorEastAsia"/>
          <w:b/>
          <w:sz w:val="24"/>
          <w:szCs w:val="24"/>
          <w:highlight w:val="none"/>
        </w:rPr>
      </w:pPr>
      <w:r>
        <w:rPr>
          <w:rFonts w:hint="eastAsia" w:asciiTheme="minorEastAsia" w:hAnsiTheme="minorEastAsia"/>
          <w:b/>
          <w:sz w:val="24"/>
          <w:szCs w:val="24"/>
          <w:highlight w:val="none"/>
        </w:rPr>
        <w:t>1、规划目标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textAlignment w:val="auto"/>
        <w:rPr>
          <w:rFonts w:hint="default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Cs/>
          <w:sz w:val="24"/>
          <w:szCs w:val="24"/>
          <w:highlight w:val="none"/>
        </w:rPr>
        <w:t>规划功能定位为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eastAsia="zh-CN"/>
        </w:rPr>
        <w:t>：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雅瑶镇综合服务升级板块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eastAsia="zh-CN"/>
        </w:rPr>
        <w:t>，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大园区周边重要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eastAsia="zh-CN"/>
        </w:rPr>
        <w:t>产城融合配套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功能区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315" w:leftChars="150" w:firstLine="482" w:firstLineChars="200"/>
        <w:rPr>
          <w:rFonts w:hint="default" w:asciiTheme="minorEastAsia" w:hAnsiTheme="minorEastAsia" w:eastAsiaTheme="minorEastAsia"/>
          <w:b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/>
          <w:b/>
          <w:sz w:val="24"/>
          <w:szCs w:val="24"/>
          <w:highlight w:val="none"/>
        </w:rPr>
        <w:t>2、人口</w:t>
      </w:r>
      <w:r>
        <w:rPr>
          <w:rFonts w:hint="eastAsia" w:asciiTheme="minorEastAsia" w:hAnsiTheme="minorEastAsia"/>
          <w:b/>
          <w:sz w:val="24"/>
          <w:szCs w:val="24"/>
          <w:highlight w:val="none"/>
          <w:lang w:val="en-US" w:eastAsia="zh-CN"/>
        </w:rPr>
        <w:t>预测与用地规模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rPr>
          <w:rFonts w:hint="default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人口规模预测：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居住人口：按规划范围内城镇住宅用地满住预测，居住人口约6303人；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产业人口：按照现状生活习惯预测未来范围内产业人口基本择本范围而居，因此居住人口和村镇人口包含其中；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村镇人口：结合最新常住人口普查数据，按照4‰的自然增长率推演，预测范围内村镇人口约4618人；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2" w:firstLineChars="200"/>
        <w:rPr>
          <w:rFonts w:hint="eastAsia" w:cs="Times New Roman" w:asciiTheme="minorEastAsia" w:hAnsiTheme="minorEastAsia"/>
          <w:b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/>
          <w:bCs w:val="0"/>
          <w:sz w:val="24"/>
          <w:szCs w:val="24"/>
          <w:highlight w:val="none"/>
          <w:lang w:val="en-US" w:eastAsia="zh-CN"/>
        </w:rPr>
        <w:t>综上，预测本规划区内人口约10921人。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用地规模：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规划总用地面积为534421㎡，其中建设用地385158.03㎡，城镇建设用地主要结合国土空间规划“三区三线”布局；边界外落实永久基本农田，其余基本按照“三调”现状用地落实结合发展需求，其中城镇开发边界外规划一处商业用地（0901），面积为16613.46㎡，作为村镇商业用途并在镇国土空间总体规划落实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315" w:leftChars="150" w:firstLine="482" w:firstLineChars="200"/>
        <w:rPr>
          <w:rFonts w:asciiTheme="minorEastAsia" w:hAnsiTheme="minorEastAsia"/>
          <w:b/>
          <w:sz w:val="24"/>
          <w:szCs w:val="24"/>
          <w:highlight w:val="none"/>
        </w:rPr>
      </w:pPr>
      <w:r>
        <w:rPr>
          <w:rFonts w:hint="eastAsia" w:asciiTheme="minorEastAsia" w:hAnsiTheme="minorEastAsia"/>
          <w:b/>
          <w:sz w:val="24"/>
          <w:szCs w:val="24"/>
          <w:highlight w:val="none"/>
        </w:rPr>
        <w:t>3、用地规划布局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规划总用地面积为534421㎡，其中主要为居住用地（07），面积194106.89㎡，占比约36.32%。其余还有耕地（01）、林地（03）、草地（04）、湿地（05）、公共管理与公共服务用地（08）、商业服务业用地（09）、道路与交通设施用地（12）、公用设施用地（13）、绿地与开敞空间用地（14）、特殊用地（15）、陆地水域（17）等其他用地类型。</w:t>
      </w:r>
    </w:p>
    <w:p>
      <w:pPr>
        <w:pStyle w:val="2"/>
        <w:rPr>
          <w:rFonts w:hint="eastAsia"/>
          <w:highlight w:val="none"/>
          <w:lang w:val="en-US" w:eastAsia="zh-CN"/>
        </w:rPr>
      </w:pPr>
    </w:p>
    <w:p>
      <w:pPr>
        <w:pStyle w:val="2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</w:p>
    <w:p>
      <w:pPr>
        <w:pStyle w:val="2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</w:p>
    <w:p>
      <w:pPr>
        <w:pStyle w:val="2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</w:p>
    <w:p>
      <w:pPr>
        <w:pStyle w:val="2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</w:p>
    <w:p>
      <w:pPr>
        <w:pStyle w:val="2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</w:p>
    <w:p>
      <w:pPr>
        <w:pStyle w:val="2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</w:p>
    <w:p>
      <w:pPr>
        <w:pStyle w:val="2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</w:p>
    <w:p>
      <w:pPr>
        <w:pStyle w:val="2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</w:p>
    <w:p>
      <w:pPr>
        <w:pStyle w:val="2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</w:p>
    <w:p>
      <w:pPr>
        <w:pStyle w:val="2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  <w:t>《鹤山市雅瑶镇江沙片区圩镇南部单元控制性详细规划》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Theme="majorEastAsia" w:hAnsiTheme="majorEastAsia" w:eastAsiaTheme="maj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28"/>
          <w:szCs w:val="28"/>
          <w:highlight w:val="none"/>
          <w:lang w:val="en-US" w:eastAsia="zh-CN"/>
        </w:rPr>
        <w:t>草案公示文件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20" w:firstLine="0" w:firstLineChars="0"/>
        <w:rPr>
          <w:rFonts w:ascii="黑体" w:hAnsi="黑体" w:eastAsia="黑体" w:cs="Times New Roman"/>
          <w:b/>
          <w:bCs/>
          <w:sz w:val="30"/>
          <w:szCs w:val="30"/>
          <w:highlight w:val="none"/>
        </w:rPr>
      </w:pPr>
      <w:r>
        <w:rPr>
          <w:rFonts w:asciiTheme="majorEastAsia" w:hAnsiTheme="majorEastAsia" w:eastAsiaTheme="majorEastAsia"/>
          <w:b/>
          <w:sz w:val="44"/>
          <w:szCs w:val="44"/>
          <w:highlight w:val="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-1296035</wp:posOffset>
                </wp:positionH>
                <wp:positionV relativeFrom="paragraph">
                  <wp:posOffset>146050</wp:posOffset>
                </wp:positionV>
                <wp:extent cx="8920480" cy="0"/>
                <wp:effectExtent l="0" t="28575" r="13970" b="28575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2048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2.05pt;margin-top:11.5pt;height:0pt;width:702.4pt;z-index:251673600;mso-width-relative:page;mso-height-relative:page;" filled="f" stroked="t" coordsize="21600,21600" o:gfxdata="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FbijgjZAAAACwEAAA8AAAAA&#10;AAAAAQAgAAAAIgAAAGRycy9kb3ducmV2LnhtbFBLAQIUABQAAAAIAIdO4kC/HV8B2gEAAJ0DAAAO&#10;AAAAAAAAAAEAIAAAACgBAABkcnMvZTJvRG9jLnhtbFBLBQYAAAAABgAGAFkBAAB0BQAAAAA=&#10;">
                <v:fill on="f" focussize="0,0"/>
                <v:stroke weight="4.5pt" color="#000000 [3213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525" w:rightChars="250"/>
        <w:jc w:val="center"/>
        <w:rPr>
          <w:rFonts w:hint="eastAsia" w:ascii="宋体" w:hAnsi="宋体" w:cs="宋体"/>
          <w:color w:val="auto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/>
        <w:jc w:val="center"/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</w:pPr>
      <w:r>
        <w:rPr>
          <w:rFonts w:hint="eastAsia" w:ascii="宋体" w:hAnsi="宋体" w:cs="宋体"/>
          <w:color w:val="auto"/>
          <w:highlight w:val="none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5170805</wp:posOffset>
            </wp:positionH>
            <wp:positionV relativeFrom="paragraph">
              <wp:posOffset>3068320</wp:posOffset>
            </wp:positionV>
            <wp:extent cx="1643380" cy="2111375"/>
            <wp:effectExtent l="9525" t="9525" r="23495" b="12700"/>
            <wp:wrapNone/>
            <wp:docPr id="1" name="图片 1" descr="E:\00work table\20230308雅瑶南部控规\00技术图纸\用地用海规划\ps\出图1101.jpg出图1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:\00work table\20230308雅瑶南部控规\00技术图纸\用地用海规划\ps\出图1101.jpg出图1101"/>
                    <pic:cNvPicPr>
                      <a:picLocks noChangeAspect="1"/>
                    </pic:cNvPicPr>
                  </pic:nvPicPr>
                  <pic:blipFill>
                    <a:blip r:embed="rId8"/>
                    <a:srcRect l="76226" t="52809" r="2321" b="7147"/>
                    <a:stretch>
                      <a:fillRect/>
                    </a:stretch>
                  </pic:blipFill>
                  <pic:spPr>
                    <a:xfrm>
                      <a:off x="0" y="0"/>
                      <a:ext cx="1643380" cy="21113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  <w:drawing>
          <wp:inline distT="0" distB="0" distL="114300" distR="114300">
            <wp:extent cx="6735445" cy="5168265"/>
            <wp:effectExtent l="9525" t="9525" r="17780" b="22860"/>
            <wp:docPr id="4" name="图片 4" descr="E:\00work table\20230308雅瑶南部控规\00技术图纸\用地用海规划\ps\出图1101.jpg出图1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:\00work table\20230308雅瑶南部控规\00技术图纸\用地用海规划\ps\出图1101.jpg出图1101"/>
                    <pic:cNvPicPr>
                      <a:picLocks noChangeAspect="1"/>
                    </pic:cNvPicPr>
                  </pic:nvPicPr>
                  <pic:blipFill>
                    <a:blip r:embed="rId8"/>
                    <a:srcRect l="5894" t="24307" r="27219" b="3127"/>
                    <a:stretch>
                      <a:fillRect/>
                    </a:stretch>
                  </pic:blipFill>
                  <pic:spPr>
                    <a:xfrm>
                      <a:off x="0" y="0"/>
                      <a:ext cx="6735445" cy="51682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525" w:rightChars="250"/>
        <w:jc w:val="center"/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</w:pPr>
      <w:r>
        <w:rPr>
          <w:rFonts w:hint="eastAsia" w:cs="Times New Roman" w:asciiTheme="minorEastAsia" w:hAnsiTheme="minorEastAsia"/>
          <w:bCs/>
          <w:szCs w:val="21"/>
          <w:highlight w:val="none"/>
        </w:rPr>
        <w:t>图</w:t>
      </w:r>
      <w:r>
        <w:rPr>
          <w:rFonts w:hint="eastAsia" w:cs="Times New Roman" w:asciiTheme="minorEastAsia" w:hAnsiTheme="minorEastAsia"/>
          <w:bCs/>
          <w:szCs w:val="21"/>
          <w:highlight w:val="none"/>
          <w:lang w:val="en-US" w:eastAsia="zh-CN"/>
        </w:rPr>
        <w:t>四 国土空间用地用海</w:t>
      </w:r>
      <w:r>
        <w:rPr>
          <w:rFonts w:hint="eastAsia" w:cs="Times New Roman" w:asciiTheme="minorEastAsia" w:hAnsiTheme="minorEastAsia"/>
          <w:bCs/>
          <w:szCs w:val="21"/>
          <w:highlight w:val="none"/>
        </w:rPr>
        <w:t>规划图</w:t>
      </w:r>
      <w:r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  <w:t>《鹤山市雅瑶镇江沙片区圩镇南部单元控制性详细规划》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Theme="majorEastAsia" w:hAnsiTheme="majorEastAsia" w:eastAsiaTheme="maj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28"/>
          <w:szCs w:val="28"/>
          <w:highlight w:val="none"/>
          <w:lang w:val="en-US" w:eastAsia="zh-CN"/>
        </w:rPr>
        <w:t>草案公示文件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20" w:firstLine="0" w:firstLineChars="0"/>
        <w:rPr>
          <w:rFonts w:ascii="黑体" w:hAnsi="黑体" w:eastAsia="黑体" w:cs="Times New Roman"/>
          <w:b/>
          <w:bCs/>
          <w:sz w:val="30"/>
          <w:szCs w:val="30"/>
          <w:highlight w:val="none"/>
        </w:rPr>
      </w:pPr>
      <w:r>
        <w:rPr>
          <w:rFonts w:asciiTheme="majorEastAsia" w:hAnsiTheme="majorEastAsia" w:eastAsiaTheme="majorEastAsia"/>
          <w:b/>
          <w:sz w:val="44"/>
          <w:szCs w:val="44"/>
          <w:highlight w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-1296035</wp:posOffset>
                </wp:positionH>
                <wp:positionV relativeFrom="paragraph">
                  <wp:posOffset>146050</wp:posOffset>
                </wp:positionV>
                <wp:extent cx="8920480" cy="0"/>
                <wp:effectExtent l="0" t="28575" r="13970" b="28575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2048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2.05pt;margin-top:11.5pt;height:0pt;width:702.4pt;z-index:251664384;mso-width-relative:page;mso-height-relative:page;" filled="f" stroked="t" coordsize="21600,21600" o:gfxdata="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VuKOCNkAAAALAQAADwAAAAAA&#10;AAABACAAAAAiAAAAZHJzL2Rvd25yZXYueG1sUEsBAhQAFAAAAAgAh07iQL4Ra0zZAQAAnQMAAA4A&#10;AAAAAAAAAQAgAAAAKAEAAGRycy9lMm9Eb2MueG1sUEsFBgAAAAAGAAYAWQEAAHMFAAAAAA==&#10;">
                <v:fill on="f" focussize="0,0"/>
                <v:stroke weight="4.5pt" color="#000000 [3213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9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rPr>
          <w:rFonts w:ascii="黑体" w:hAnsi="黑体" w:eastAsia="黑体" w:cs="Times New Roman"/>
          <w:b/>
          <w:bCs/>
          <w:sz w:val="30"/>
          <w:szCs w:val="30"/>
          <w:highlight w:val="none"/>
        </w:rPr>
      </w:pPr>
      <w:r>
        <w:rPr>
          <w:rFonts w:hint="eastAsia" w:ascii="黑体" w:hAnsi="黑体" w:eastAsia="黑体" w:cs="Times New Roman"/>
          <w:b/>
          <w:bCs/>
          <w:sz w:val="30"/>
          <w:szCs w:val="30"/>
          <w:highlight w:val="none"/>
        </w:rPr>
        <w:t>道路系统规划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315" w:leftChars="150" w:firstLine="482" w:firstLineChars="200"/>
        <w:rPr>
          <w:rFonts w:asciiTheme="minorEastAsia" w:hAnsiTheme="minorEastAsia"/>
          <w:b/>
          <w:sz w:val="24"/>
          <w:szCs w:val="24"/>
          <w:highlight w:val="none"/>
        </w:rPr>
      </w:pPr>
      <w:r>
        <w:rPr>
          <w:rFonts w:hint="eastAsia" w:asciiTheme="minorEastAsia" w:hAnsiTheme="minorEastAsia"/>
          <w:b/>
          <w:sz w:val="24"/>
          <w:szCs w:val="24"/>
          <w:highlight w:val="none"/>
        </w:rPr>
        <w:t>1、道路等级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rPr>
          <w:rFonts w:cs="Times New Roman" w:asciiTheme="minorEastAsia" w:hAnsiTheme="minorEastAsia"/>
          <w:bCs/>
          <w:sz w:val="24"/>
          <w:szCs w:val="24"/>
          <w:highlight w:val="none"/>
        </w:rPr>
      </w:pPr>
      <w:bookmarkStart w:id="0" w:name="_Hlk495933149"/>
      <w:r>
        <w:rPr>
          <w:rFonts w:hint="eastAsia" w:cs="Times New Roman" w:asciiTheme="minorEastAsia" w:hAnsiTheme="minorEastAsia"/>
          <w:bCs/>
          <w:sz w:val="24"/>
          <w:szCs w:val="24"/>
          <w:highlight w:val="none"/>
        </w:rPr>
        <w:t>规划道路系统分为“主干道——次干道——支路”三级，确保规划区内交通有效组织运行。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2" w:firstLineChars="200"/>
        <w:rPr>
          <w:rFonts w:hint="default" w:cs="Times New Roman" w:asciiTheme="minorEastAsia" w:hAnsi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/>
          <w:bCs/>
          <w:sz w:val="24"/>
          <w:szCs w:val="24"/>
          <w:highlight w:val="none"/>
          <w:lang w:val="en-US" w:eastAsia="zh-CN"/>
        </w:rPr>
        <w:t>快速路：</w:t>
      </w:r>
      <w:r>
        <w:rPr>
          <w:rFonts w:hint="eastAsia" w:cs="Times New Roman" w:asciiTheme="minorEastAsia" w:hAnsiTheme="minorEastAsia"/>
          <w:b w:val="0"/>
          <w:bCs w:val="0"/>
          <w:sz w:val="24"/>
          <w:szCs w:val="24"/>
          <w:highlight w:val="none"/>
          <w:lang w:val="en-US" w:eastAsia="zh-CN"/>
        </w:rPr>
        <w:t>顺鹤高快速路，控制60米；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2" w:firstLineChars="200"/>
        <w:rPr>
          <w:rFonts w:hint="default" w:cs="Times New Roman" w:asciiTheme="minorEastAsia" w:hAnsiTheme="minorEastAsia" w:eastAsiaTheme="minorEastAsia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/>
          <w:bCs/>
          <w:sz w:val="24"/>
          <w:szCs w:val="24"/>
          <w:highlight w:val="none"/>
          <w:lang w:val="en-US" w:eastAsia="zh-CN"/>
        </w:rPr>
        <w:t>省道：</w:t>
      </w:r>
      <w:r>
        <w:rPr>
          <w:rFonts w:hint="eastAsia" w:cs="Times New Roman" w:asciiTheme="minorEastAsia" w:hAnsiTheme="minorEastAsia"/>
          <w:b w:val="0"/>
          <w:bCs w:val="0"/>
          <w:sz w:val="24"/>
          <w:szCs w:val="24"/>
          <w:highlight w:val="none"/>
          <w:lang w:val="en-US" w:eastAsia="zh-CN"/>
        </w:rPr>
        <w:t>省道S272（江沙公路），控制60米；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2" w:firstLineChars="200"/>
        <w:rPr>
          <w:rFonts w:hint="eastAsia" w:cs="Times New Roman" w:asciiTheme="minorEastAsia" w:hAnsiTheme="minorEastAsia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/>
          <w:bCs/>
          <w:sz w:val="24"/>
          <w:szCs w:val="24"/>
          <w:highlight w:val="none"/>
        </w:rPr>
        <w:t>主干道：</w:t>
      </w:r>
      <w:r>
        <w:rPr>
          <w:rFonts w:hint="eastAsia" w:cs="Times New Roman" w:asciiTheme="minorEastAsia" w:hAnsiTheme="minorEastAsia"/>
          <w:b w:val="0"/>
          <w:bCs w:val="0"/>
          <w:sz w:val="24"/>
          <w:szCs w:val="24"/>
          <w:highlight w:val="none"/>
          <w:lang w:val="en-US" w:eastAsia="zh-CN"/>
        </w:rPr>
        <w:t>江沙公路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（兼具过境公路功能）</w:t>
      </w:r>
      <w:r>
        <w:rPr>
          <w:rFonts w:hint="eastAsia" w:cs="Times New Roman" w:asciiTheme="minorEastAsia" w:hAnsiTheme="minorEastAsia"/>
          <w:b w:val="0"/>
          <w:bCs w:val="0"/>
          <w:sz w:val="24"/>
          <w:szCs w:val="24"/>
          <w:highlight w:val="none"/>
          <w:lang w:val="en-US" w:eastAsia="zh-CN"/>
        </w:rPr>
        <w:t>，道路红线宽度控制为60米（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整体控制区域80米，两侧各10米绿化带</w:t>
      </w:r>
      <w:r>
        <w:rPr>
          <w:rFonts w:hint="eastAsia" w:cs="Times New Roman" w:asciiTheme="minorEastAsia" w:hAnsiTheme="minorEastAsia"/>
          <w:b w:val="0"/>
          <w:bCs w:val="0"/>
          <w:sz w:val="24"/>
          <w:szCs w:val="24"/>
          <w:highlight w:val="none"/>
          <w:lang w:val="en-US" w:eastAsia="zh-CN"/>
        </w:rPr>
        <w:t>）；顺鹤高快速路正线高架，与江沙公路分离立交，其辅道为主干道。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2" w:firstLineChars="200"/>
        <w:rPr>
          <w:rFonts w:cs="Times New Roman" w:asciiTheme="minorEastAsia" w:hAnsiTheme="minorEastAsia"/>
          <w:sz w:val="24"/>
          <w:szCs w:val="24"/>
          <w:highlight w:val="none"/>
        </w:rPr>
      </w:pPr>
      <w:r>
        <w:rPr>
          <w:rFonts w:hint="eastAsia" w:cs="Times New Roman" w:asciiTheme="minorEastAsia" w:hAnsiTheme="minorEastAsia"/>
          <w:b/>
          <w:bCs/>
          <w:sz w:val="24"/>
          <w:szCs w:val="24"/>
          <w:highlight w:val="none"/>
        </w:rPr>
        <w:t>次干道：</w:t>
      </w:r>
      <w:r>
        <w:rPr>
          <w:rFonts w:hint="eastAsia" w:cs="Times New Roman" w:asciiTheme="minorEastAsia" w:hAnsiTheme="minorEastAsia"/>
          <w:sz w:val="24"/>
          <w:szCs w:val="24"/>
          <w:highlight w:val="none"/>
          <w:lang w:val="en-US" w:eastAsia="zh-CN"/>
        </w:rPr>
        <w:t>中心路（20米）、工业街（20米）、为民二路（20米）</w:t>
      </w:r>
      <w:r>
        <w:rPr>
          <w:rFonts w:hint="eastAsia" w:cs="Times New Roman" w:asciiTheme="minorEastAsia" w:hAnsiTheme="minorEastAsia"/>
          <w:sz w:val="24"/>
          <w:szCs w:val="24"/>
          <w:highlight w:val="none"/>
        </w:rPr>
        <w:t>为次干道。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2" w:firstLineChars="200"/>
        <w:rPr>
          <w:rFonts w:cs="Times New Roman" w:asciiTheme="minorEastAsia" w:hAnsiTheme="minorEastAsia"/>
          <w:bCs/>
          <w:sz w:val="24"/>
          <w:szCs w:val="24"/>
          <w:highlight w:val="none"/>
        </w:rPr>
      </w:pPr>
      <w:r>
        <w:rPr>
          <w:rFonts w:hint="eastAsia" w:cs="Times New Roman" w:asciiTheme="minorEastAsia" w:hAnsiTheme="minorEastAsia"/>
          <w:b/>
          <w:bCs/>
          <w:sz w:val="24"/>
          <w:szCs w:val="24"/>
          <w:highlight w:val="none"/>
        </w:rPr>
        <w:t>支路：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</w:rPr>
        <w:t>其余道路为支路，作为规划地块内部之间的联系通道，道路红线宽度控制在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12-15</w:t>
      </w:r>
      <w:r>
        <w:rPr>
          <w:rFonts w:hint="eastAsia" w:cs="Times New Roman" w:asciiTheme="minorEastAsia" w:hAnsiTheme="minorEastAsia"/>
          <w:bCs/>
          <w:sz w:val="24"/>
          <w:szCs w:val="24"/>
          <w:highlight w:val="none"/>
        </w:rPr>
        <w:t>米。</w:t>
      </w:r>
      <w:bookmarkEnd w:id="0"/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315" w:leftChars="150" w:firstLine="482" w:firstLineChars="200"/>
        <w:rPr>
          <w:rFonts w:hint="eastAsia" w:asciiTheme="minorEastAsia" w:hAnsiTheme="minorEastAsia"/>
          <w:b/>
          <w:sz w:val="24"/>
          <w:szCs w:val="24"/>
          <w:highlight w:val="none"/>
        </w:rPr>
      </w:pPr>
      <w:r>
        <w:rPr>
          <w:rFonts w:hint="eastAsia" w:asciiTheme="minorEastAsia" w:hAnsiTheme="minorEastAsia"/>
          <w:b/>
          <w:sz w:val="24"/>
          <w:szCs w:val="24"/>
          <w:highlight w:val="none"/>
        </w:rPr>
        <w:t>道路网络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规划在保留原有的路网布局基础上，范围东部结合工改住升级，完善路网纵向联系形成完整内部循环；西侧结合旧镇区整体三旧改造与江沙公路两侧升级改造工程，理顺内部的交通组织关系，优化与区域路网的衔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rPr>
          <w:rFonts w:hint="default" w:eastAsiaTheme="minorEastAsia"/>
          <w:highlight w:val="none"/>
          <w:lang w:val="en-US" w:eastAsia="zh-CN"/>
        </w:rPr>
      </w:pPr>
      <w:r>
        <w:rPr>
          <w:rFonts w:hint="eastAsia" w:eastAsia="宋体"/>
          <w:highlight w:val="none"/>
          <w:lang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4578350</wp:posOffset>
            </wp:positionH>
            <wp:positionV relativeFrom="paragraph">
              <wp:posOffset>3254375</wp:posOffset>
            </wp:positionV>
            <wp:extent cx="1846580" cy="975360"/>
            <wp:effectExtent l="9525" t="9525" r="18415" b="20955"/>
            <wp:wrapNone/>
            <wp:docPr id="7" name="图片 2" descr="D:/炫/0-雅瑶南部/公示文件/1101公示出图/1101公示出图/规划06 道路系统.jpg规划06 道路系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D:/炫/0-雅瑶南部/公示文件/1101公示出图/1101公示出图/规划06 道路系统.jpg规划06 道路系统"/>
                    <pic:cNvPicPr>
                      <a:picLocks noChangeAspect="1"/>
                    </pic:cNvPicPr>
                  </pic:nvPicPr>
                  <pic:blipFill>
                    <a:blip r:embed="rId9"/>
                    <a:srcRect l="75499" t="52787" r="3252" b="31019"/>
                    <a:stretch>
                      <a:fillRect/>
                    </a:stretch>
                  </pic:blipFill>
                  <pic:spPr>
                    <a:xfrm>
                      <a:off x="0" y="0"/>
                      <a:ext cx="1846580" cy="9753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highlight w:val="none"/>
          <w:lang w:val="en-US" w:eastAsia="zh-CN"/>
        </w:rPr>
        <w:drawing>
          <wp:inline distT="0" distB="0" distL="114300" distR="114300">
            <wp:extent cx="5947410" cy="4218305"/>
            <wp:effectExtent l="9525" t="9525" r="24765" b="20320"/>
            <wp:docPr id="3" name="图片 3" descr="F:/0_GAAAAAAAAA/江沙片区-0301/出图用/公示用图-规划03、06、07、10/规划06 道路系统1106.jpg规划06 道路系统1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:/0_GAAAAAAAAA/江沙片区-0301/出图用/公示用图-规划03、06、07、10/规划06 道路系统1106.jpg规划06 道路系统1106"/>
                    <pic:cNvPicPr>
                      <a:picLocks noChangeAspect="1"/>
                    </pic:cNvPicPr>
                  </pic:nvPicPr>
                  <pic:blipFill>
                    <a:blip r:embed="rId10"/>
                    <a:srcRect l="2807" t="17746" r="27154" b="12031"/>
                    <a:stretch>
                      <a:fillRect/>
                    </a:stretch>
                  </pic:blipFill>
                  <pic:spPr>
                    <a:xfrm>
                      <a:off x="0" y="0"/>
                      <a:ext cx="5947410" cy="42183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rPr>
          <w:rFonts w:hint="eastAsia" w:cs="Times New Roman" w:asciiTheme="minorEastAsia" w:hAnsiTheme="minorEastAsia"/>
          <w:bCs/>
          <w:szCs w:val="21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Cs/>
          <w:szCs w:val="21"/>
          <w:highlight w:val="none"/>
        </w:rPr>
        <w:t>图</w:t>
      </w:r>
      <w:r>
        <w:rPr>
          <w:rFonts w:hint="eastAsia" w:cs="Times New Roman" w:asciiTheme="minorEastAsia" w:hAnsiTheme="minorEastAsia"/>
          <w:bCs/>
          <w:szCs w:val="21"/>
          <w:highlight w:val="none"/>
          <w:lang w:val="en-US" w:eastAsia="zh-CN"/>
        </w:rPr>
        <w:t xml:space="preserve">六 </w:t>
      </w:r>
      <w:r>
        <w:rPr>
          <w:rFonts w:hint="eastAsia" w:cs="Times New Roman" w:asciiTheme="minorEastAsia" w:hAnsiTheme="minorEastAsia"/>
          <w:bCs/>
          <w:szCs w:val="21"/>
          <w:highlight w:val="none"/>
        </w:rPr>
        <w:t>道路交通规划图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  <w:t>《鹤山市雅瑶镇江沙片区圩镇南部单元控制性详细规划》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Theme="majorEastAsia" w:hAnsiTheme="majorEastAsia" w:eastAsiaTheme="maj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28"/>
          <w:szCs w:val="28"/>
          <w:highlight w:val="none"/>
          <w:lang w:val="en-US" w:eastAsia="zh-CN"/>
        </w:rPr>
        <w:t>草案公示文件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20" w:firstLine="0" w:firstLineChars="0"/>
        <w:rPr>
          <w:rFonts w:hint="eastAsia" w:eastAsia="宋体"/>
          <w:highlight w:val="none"/>
          <w:lang w:eastAsia="zh-CN"/>
        </w:rPr>
      </w:pPr>
      <w:r>
        <w:rPr>
          <w:rFonts w:asciiTheme="majorEastAsia" w:hAnsiTheme="majorEastAsia" w:eastAsiaTheme="majorEastAsia"/>
          <w:b/>
          <w:sz w:val="44"/>
          <w:szCs w:val="44"/>
          <w:highlight w:val="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-1296035</wp:posOffset>
                </wp:positionH>
                <wp:positionV relativeFrom="paragraph">
                  <wp:posOffset>146050</wp:posOffset>
                </wp:positionV>
                <wp:extent cx="8920480" cy="0"/>
                <wp:effectExtent l="0" t="28575" r="13970" b="28575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2048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2.05pt;margin-top:11.5pt;height:0pt;width:702.4pt;z-index:251671552;mso-width-relative:page;mso-height-relative:page;" filled="f" stroked="t" coordsize="21600,21600" o:gfxdata="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VuKOCNkAAAALAQAADwAAAAAA&#10;AAABACAAAAAiAAAAZHJzL2Rvd25yZXYueG1sUEsBAhQAFAAAAAgAh07iQK4Wa+LZAQAAnQMAAA4A&#10;AAAAAAAAAQAgAAAAKAEAAGRycy9lMm9Eb2MueG1sUEsFBgAAAAAGAAYAWQEAAHMFAAAAAA==&#10;">
                <v:fill on="f" focussize="0,0"/>
                <v:stroke weight="4.5pt" color="#000000 [3213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rPr>
          <w:rFonts w:hint="default" w:cs="Times New Roman" w:asciiTheme="minorEastAsia" w:hAnsiTheme="minorEastAsia"/>
          <w:bCs/>
          <w:szCs w:val="21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0" w:right="0" w:rightChars="0" w:hanging="525" w:firstLineChars="0"/>
        <w:jc w:val="center"/>
        <w:rPr>
          <w:rFonts w:hint="default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  <w:r>
        <w:rPr>
          <w:rFonts w:hint="default" w:cs="Times New Roman" w:asciiTheme="minorEastAsia" w:hAnsiTheme="minorEastAsia"/>
          <w:bCs/>
          <w:szCs w:val="21"/>
          <w:highlight w:val="none"/>
          <w:lang w:val="en-US" w:eastAsia="zh-CN"/>
        </w:rPr>
        <w:drawing>
          <wp:inline distT="0" distB="0" distL="114300" distR="114300">
            <wp:extent cx="5949950" cy="3596640"/>
            <wp:effectExtent l="0" t="0" r="0" b="0"/>
            <wp:docPr id="9" name="图片 9" descr="F:/0_GAAAAAAAAA/江沙片区-0301/出图用/公示用图-规划03、06、07、10/规划07 道路断面1106.jpg规划07 道路断面1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:/0_GAAAAAAAAA/江沙片区-0301/出图用/公示用图-规划03、06、07、10/规划07 道路断面1106.jpg规划07 道路断面1106"/>
                    <pic:cNvPicPr>
                      <a:picLocks noChangeAspect="1"/>
                    </pic:cNvPicPr>
                  </pic:nvPicPr>
                  <pic:blipFill>
                    <a:blip r:embed="rId11"/>
                    <a:srcRect l="2283" t="11482" r="2520" b="7181"/>
                    <a:stretch>
                      <a:fillRect/>
                    </a:stretch>
                  </pic:blipFill>
                  <pic:spPr>
                    <a:xfrm>
                      <a:off x="0" y="0"/>
                      <a:ext cx="5950127" cy="35966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rPr>
          <w:rFonts w:asciiTheme="majorEastAsia" w:hAnsiTheme="majorEastAsia" w:eastAsiaTheme="majorEastAsia"/>
          <w:b/>
          <w:sz w:val="44"/>
          <w:szCs w:val="44"/>
          <w:highlight w:val="none"/>
        </w:rPr>
      </w:pPr>
      <w:r>
        <w:rPr>
          <w:rFonts w:hint="eastAsia" w:cs="Times New Roman" w:asciiTheme="minorEastAsia" w:hAnsiTheme="minorEastAsia"/>
          <w:bCs/>
          <w:szCs w:val="21"/>
          <w:highlight w:val="none"/>
        </w:rPr>
        <w:t>图</w:t>
      </w:r>
      <w:r>
        <w:rPr>
          <w:rFonts w:hint="eastAsia" w:cs="Times New Roman" w:asciiTheme="minorEastAsia" w:hAnsiTheme="minorEastAsia"/>
          <w:bCs/>
          <w:szCs w:val="21"/>
          <w:highlight w:val="none"/>
          <w:lang w:val="en-US" w:eastAsia="zh-CN"/>
        </w:rPr>
        <w:t>五 道路断面</w:t>
      </w:r>
      <w:r>
        <w:rPr>
          <w:rFonts w:hint="eastAsia" w:cs="Times New Roman" w:asciiTheme="minorEastAsia" w:hAnsiTheme="minorEastAsia"/>
          <w:bCs/>
          <w:szCs w:val="21"/>
          <w:highlight w:val="none"/>
        </w:rPr>
        <w:t>规划图</w:t>
      </w:r>
    </w:p>
    <w:p>
      <w:pPr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  <w:t>《鹤山市雅瑶镇江沙片区圩镇南部单元控制性详细规划》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Theme="majorEastAsia" w:hAnsiTheme="majorEastAsia" w:eastAsiaTheme="maj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28"/>
          <w:szCs w:val="28"/>
          <w:highlight w:val="none"/>
          <w:lang w:val="en-US" w:eastAsia="zh-CN"/>
        </w:rPr>
        <w:t>草案公示文件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20" w:firstLine="0" w:firstLineChars="0"/>
        <w:rPr>
          <w:rFonts w:ascii="黑体" w:hAnsi="黑体" w:eastAsia="黑体" w:cs="Times New Roman"/>
          <w:b/>
          <w:bCs/>
          <w:sz w:val="30"/>
          <w:szCs w:val="30"/>
          <w:highlight w:val="none"/>
        </w:rPr>
      </w:pPr>
      <w:r>
        <w:rPr>
          <w:rFonts w:asciiTheme="majorEastAsia" w:hAnsiTheme="majorEastAsia" w:eastAsiaTheme="majorEastAsia"/>
          <w:b/>
          <w:sz w:val="44"/>
          <w:szCs w:val="44"/>
          <w:highlight w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-1296035</wp:posOffset>
                </wp:positionH>
                <wp:positionV relativeFrom="paragraph">
                  <wp:posOffset>146050</wp:posOffset>
                </wp:positionV>
                <wp:extent cx="8920480" cy="0"/>
                <wp:effectExtent l="0" t="28575" r="13970" b="28575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2048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2.05pt;margin-top:11.5pt;height:0pt;width:702.4pt;z-index:251665408;mso-width-relative:page;mso-height-relative:page;" filled="f" stroked="t" coordsize="21600,21600" o:gfxdata="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VuKOCNkAAAALAQAADwAAAAAA&#10;AAABACAAAAAiAAAAZHJzL2Rvd25yZXYueG1sUEsBAhQAFAAAAAgAh07iQHoQ62fZAQAAnQMAAA4A&#10;AAAAAAAAAQAgAAAAKAEAAGRycy9lMm9Eb2MueG1sUEsFBgAAAAAGAAYAWQEAAHMFAAAAAA==&#10;">
                <v:fill on="f" focussize="0,0"/>
                <v:stroke weight="4.5pt" color="#000000 [3213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9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rPr>
          <w:rFonts w:ascii="黑体" w:hAnsi="黑体" w:eastAsia="黑体" w:cs="Times New Roman"/>
          <w:b/>
          <w:bCs/>
          <w:sz w:val="30"/>
          <w:szCs w:val="30"/>
          <w:highlight w:val="none"/>
        </w:rPr>
      </w:pPr>
      <w:r>
        <w:rPr>
          <w:rFonts w:hint="eastAsia" w:ascii="黑体" w:hAnsi="黑体" w:eastAsia="黑体" w:cs="Times New Roman"/>
          <w:b/>
          <w:bCs/>
          <w:sz w:val="30"/>
          <w:szCs w:val="30"/>
          <w:highlight w:val="none"/>
          <w:lang w:val="en-US" w:eastAsia="zh-CN"/>
        </w:rPr>
        <w:t>公共服务配套设施规划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315" w:leftChars="150" w:firstLine="482" w:firstLineChars="200"/>
        <w:rPr>
          <w:rFonts w:hint="default" w:asciiTheme="minorEastAsia" w:hAnsiTheme="minorEastAsia" w:eastAsiaTheme="minorEastAsia"/>
          <w:b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/>
          <w:b/>
          <w:sz w:val="24"/>
          <w:szCs w:val="24"/>
          <w:highlight w:val="none"/>
        </w:rPr>
        <w:t>1、</w:t>
      </w:r>
      <w:r>
        <w:rPr>
          <w:rFonts w:hint="eastAsia" w:asciiTheme="minorEastAsia" w:hAnsiTheme="minorEastAsia"/>
          <w:b/>
          <w:sz w:val="24"/>
          <w:szCs w:val="24"/>
          <w:highlight w:val="none"/>
          <w:lang w:val="en-US" w:eastAsia="zh-CN"/>
        </w:rPr>
        <w:t>公共服务配套设施系统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规划范围内主要按照城镇社区生活圈规划，周边村集体共享社区设施；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rPr>
          <w:rFonts w:hint="default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范围内安宁坊按照自身村庄需求，结合村庄规划按照乡村社区生活圈设置，设置村/组层级的生活圈依托村庄集中居民点，按照15min可达空间尺度配置共享。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315" w:leftChars="150" w:firstLine="482" w:firstLineChars="200"/>
        <w:rPr>
          <w:rFonts w:hint="eastAsia" w:asciiTheme="minorEastAsia" w:hAnsiTheme="minorEastAsia"/>
          <w:b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/>
          <w:b/>
          <w:sz w:val="24"/>
          <w:szCs w:val="24"/>
          <w:highlight w:val="none"/>
          <w:lang w:val="en-US" w:eastAsia="zh-CN"/>
        </w:rPr>
        <w:t>公共管理与公共服务配套设施</w:t>
      </w:r>
    </w:p>
    <w:tbl>
      <w:tblPr>
        <w:tblStyle w:val="7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1350"/>
        <w:gridCol w:w="2073"/>
        <w:gridCol w:w="600"/>
        <w:gridCol w:w="597"/>
        <w:gridCol w:w="901"/>
        <w:gridCol w:w="764"/>
        <w:gridCol w:w="1815"/>
        <w:gridCol w:w="19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公共服务设施一览表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管理单元</w:t>
            </w:r>
          </w:p>
        </w:tc>
        <w:tc>
          <w:tcPr>
            <w:tcW w:w="6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设施类别</w:t>
            </w:r>
          </w:p>
        </w:tc>
        <w:tc>
          <w:tcPr>
            <w:tcW w:w="93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项目名称</w:t>
            </w:r>
          </w:p>
        </w:tc>
        <w:tc>
          <w:tcPr>
            <w:tcW w:w="5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数量</w:t>
            </w:r>
          </w:p>
        </w:tc>
        <w:tc>
          <w:tcPr>
            <w:tcW w:w="7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规模</w:t>
            </w:r>
          </w:p>
        </w:tc>
        <w:tc>
          <w:tcPr>
            <w:tcW w:w="8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所在地块编码</w:t>
            </w:r>
          </w:p>
        </w:tc>
        <w:tc>
          <w:tcPr>
            <w:tcW w:w="8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6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9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现状保留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规划增加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用地面积（㎡/处）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建筑面积（㎡/处）</w:t>
            </w:r>
          </w:p>
        </w:tc>
        <w:tc>
          <w:tcPr>
            <w:tcW w:w="8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8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JM-HS-03-01-01</w:t>
            </w:r>
          </w:p>
        </w:tc>
        <w:tc>
          <w:tcPr>
            <w:tcW w:w="6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文化设施</w:t>
            </w:r>
          </w:p>
        </w:tc>
        <w:tc>
          <w:tcPr>
            <w:tcW w:w="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文物保护单位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75.42 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JM-HS-03-01-0101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雅瑶猛潦桥（一般不可移动文物）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6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基督教堂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JM-HS-03-01-0106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基督教雅瑶堂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交通设施</w:t>
            </w:r>
          </w:p>
        </w:tc>
        <w:tc>
          <w:tcPr>
            <w:tcW w:w="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社会公共停车场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JM-HS-03-01-0103、JM-HS-03-01-0107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商业服务</w:t>
            </w:r>
          </w:p>
        </w:tc>
        <w:tc>
          <w:tcPr>
            <w:tcW w:w="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菜市场或生鲜超市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JM-HS-03-01-0104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6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教育设施</w:t>
            </w:r>
          </w:p>
        </w:tc>
        <w:tc>
          <w:tcPr>
            <w:tcW w:w="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小学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JM-HS-03-01-0105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宝瑶纪念小学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6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幼儿园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JM-HS-03-01-0105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雅瑶镇中心幼儿园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6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行政办公设施</w:t>
            </w:r>
          </w:p>
        </w:tc>
        <w:tc>
          <w:tcPr>
            <w:tcW w:w="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村委会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JM-HS-03-01-0105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雅瑶村委会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6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邮政局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JM-HS-03-01-0107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鹤山市邮政局雅瑶邮政所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防灾设施</w:t>
            </w:r>
          </w:p>
        </w:tc>
        <w:tc>
          <w:tcPr>
            <w:tcW w:w="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应急避难场所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JM-HS-03-01-0105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JM-HS-03-01-02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医疗卫生设施</w:t>
            </w:r>
          </w:p>
        </w:tc>
        <w:tc>
          <w:tcPr>
            <w:tcW w:w="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社区卫生服务中心/村卫生服务站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JM-HS-03-01-0203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雅瑶卫生站、雅瑶新雅诊所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文化设施</w:t>
            </w:r>
          </w:p>
        </w:tc>
        <w:tc>
          <w:tcPr>
            <w:tcW w:w="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文化活动站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JM-HS-03-01-0203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雅瑶镇新雅社区文化服务中心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6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社区服务设施</w:t>
            </w:r>
          </w:p>
        </w:tc>
        <w:tc>
          <w:tcPr>
            <w:tcW w:w="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社区服务中心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JM-HS-03-01-0203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雅瑶镇新雅社区党群服务中心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6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警务室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JM-HS-03-01-0203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雅瑶镇新雅社区警务室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社会保障设施</w:t>
            </w:r>
          </w:p>
        </w:tc>
        <w:tc>
          <w:tcPr>
            <w:tcW w:w="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老年日间照料中心（托老所）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JM-HS-03-01-0203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防灾设施</w:t>
            </w:r>
          </w:p>
        </w:tc>
        <w:tc>
          <w:tcPr>
            <w:tcW w:w="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应急避难疏散场所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JM-HS-03-01-0203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体育设施</w:t>
            </w:r>
          </w:p>
        </w:tc>
        <w:tc>
          <w:tcPr>
            <w:tcW w:w="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小型球类场地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JM-HS-03-01-0204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雅瑶镇文化广场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JM-HS-03-01-03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文化设施</w:t>
            </w:r>
          </w:p>
        </w:tc>
        <w:tc>
          <w:tcPr>
            <w:tcW w:w="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文化活动站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JM-HS-03-01-0302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社会保障设施</w:t>
            </w:r>
          </w:p>
        </w:tc>
        <w:tc>
          <w:tcPr>
            <w:tcW w:w="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老年日间照料中心（托老所）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JM-HS-03-01-0302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商业服务</w:t>
            </w:r>
          </w:p>
        </w:tc>
        <w:tc>
          <w:tcPr>
            <w:tcW w:w="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菜市场或生鲜超市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JM-HS-03-01-0302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交通设施</w:t>
            </w:r>
          </w:p>
        </w:tc>
        <w:tc>
          <w:tcPr>
            <w:tcW w:w="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社会公共停车场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JM-HS-03-01-0305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体育设施</w:t>
            </w:r>
          </w:p>
        </w:tc>
        <w:tc>
          <w:tcPr>
            <w:tcW w:w="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中型球类场地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JM-HS-03-01-0305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JM-HS-03-01-04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教育设施</w:t>
            </w:r>
          </w:p>
        </w:tc>
        <w:tc>
          <w:tcPr>
            <w:tcW w:w="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幼儿园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JM-HS-03-01-0405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</w:tr>
    </w:tbl>
    <w:p>
      <w:pPr>
        <w:pStyle w:val="2"/>
        <w:numPr>
          <w:ilvl w:val="0"/>
          <w:numId w:val="0"/>
        </w:numPr>
        <w:rPr>
          <w:rFonts w:hint="default"/>
          <w:highlight w:val="none"/>
          <w:lang w:val="en-US" w:eastAsia="zh-CN"/>
        </w:rPr>
      </w:pP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20" w:firstLine="0" w:firstLineChars="0"/>
        <w:rPr>
          <w:rFonts w:ascii="黑体" w:hAnsi="黑体" w:eastAsia="黑体" w:cs="Times New Roman"/>
          <w:b/>
          <w:bCs/>
          <w:sz w:val="30"/>
          <w:szCs w:val="30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</w:pPr>
      <w:r>
        <w:rPr>
          <w:rFonts w:hint="eastAsia" w:eastAsia="宋体"/>
          <w:highlight w:val="none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5242560</wp:posOffset>
            </wp:positionH>
            <wp:positionV relativeFrom="paragraph">
              <wp:posOffset>3368040</wp:posOffset>
            </wp:positionV>
            <wp:extent cx="1793240" cy="2065020"/>
            <wp:effectExtent l="9525" t="9525" r="26035" b="20955"/>
            <wp:wrapNone/>
            <wp:docPr id="26" name="图片 3" descr="D:/炫/0-雅瑶南部/公示文件/1101公示出图/1101公示出图/规划10 公服.jpg规划10 公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 descr="D:/炫/0-雅瑶南部/公示文件/1101公示出图/1101公示出图/规划10 公服.jpg规划10 公服"/>
                    <pic:cNvPicPr>
                      <a:picLocks noChangeAspect="1"/>
                    </pic:cNvPicPr>
                  </pic:nvPicPr>
                  <pic:blipFill>
                    <a:blip r:embed="rId12"/>
                    <a:srcRect l="73747" t="53072" r="2190" b="7378"/>
                    <a:stretch>
                      <a:fillRect/>
                    </a:stretch>
                  </pic:blipFill>
                  <pic:spPr>
                    <a:xfrm>
                      <a:off x="0" y="0"/>
                      <a:ext cx="1793240" cy="2065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  <w:drawing>
          <wp:inline distT="0" distB="0" distL="114300" distR="114300">
            <wp:extent cx="7042785" cy="5428615"/>
            <wp:effectExtent l="9525" t="9525" r="15240" b="10160"/>
            <wp:docPr id="5" name="图片 5" descr="E:\00work table\20230308雅瑶南部控规\1101公示\公示用图-规划03、06、07、10\公示用图-规划03、06、07、10\规划10 公服.jpg规划10 公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:\00work table\20230308雅瑶南部控规\1101公示\公示用图-规划03、06、07、10\公示用图-规划03、06、07、10\规划10 公服.jpg规划10 公服"/>
                    <pic:cNvPicPr>
                      <a:picLocks noChangeAspect="1"/>
                    </pic:cNvPicPr>
                  </pic:nvPicPr>
                  <pic:blipFill>
                    <a:blip r:embed="rId13"/>
                    <a:srcRect l="7329" t="24201" r="27978" b="5300"/>
                    <a:stretch>
                      <a:fillRect/>
                    </a:stretch>
                  </pic:blipFill>
                  <pic:spPr>
                    <a:xfrm>
                      <a:off x="0" y="0"/>
                      <a:ext cx="7042785" cy="54286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rPr>
          <w:rFonts w:hint="default" w:asciiTheme="majorEastAsia" w:hAnsiTheme="majorEastAsia" w:eastAsiaTheme="minorEastAsia"/>
          <w:b/>
          <w:sz w:val="48"/>
          <w:szCs w:val="48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Cs/>
          <w:szCs w:val="21"/>
          <w:highlight w:val="none"/>
        </w:rPr>
        <w:t>图</w:t>
      </w:r>
      <w:r>
        <w:rPr>
          <w:rFonts w:hint="eastAsia" w:cs="Times New Roman" w:asciiTheme="minorEastAsia" w:hAnsiTheme="minorEastAsia"/>
          <w:bCs/>
          <w:szCs w:val="21"/>
          <w:highlight w:val="none"/>
          <w:lang w:val="en-US" w:eastAsia="zh-CN"/>
        </w:rPr>
        <w:t>七 公服配套设施规划图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rPr>
          <w:rFonts w:hint="eastAsia" w:asciiTheme="majorEastAsia" w:hAnsiTheme="majorEastAsia" w:eastAsiaTheme="majorEastAsia"/>
          <w:b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rPr>
          <w:rFonts w:hint="eastAsia" w:asciiTheme="majorEastAsia" w:hAnsiTheme="majorEastAsia" w:eastAsiaTheme="majorEastAsia"/>
          <w:b/>
          <w:sz w:val="44"/>
          <w:szCs w:val="44"/>
          <w:highlight w:val="none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highlight w:val="none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  <w:t>《鹤山市雅瑶镇江沙片区圩镇南部单元控制性详细规划》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Theme="majorEastAsia" w:hAnsiTheme="majorEastAsia" w:eastAsiaTheme="maj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28"/>
          <w:szCs w:val="28"/>
          <w:highlight w:val="none"/>
          <w:lang w:val="en-US" w:eastAsia="zh-CN"/>
        </w:rPr>
        <w:t>草案公示文件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20" w:firstLine="0" w:firstLineChars="0"/>
        <w:rPr>
          <w:rFonts w:ascii="黑体" w:hAnsi="黑体" w:eastAsia="黑体" w:cs="Times New Roman"/>
          <w:b/>
          <w:bCs/>
          <w:sz w:val="30"/>
          <w:szCs w:val="30"/>
          <w:highlight w:val="none"/>
        </w:rPr>
      </w:pPr>
      <w:r>
        <w:rPr>
          <w:rFonts w:asciiTheme="majorEastAsia" w:hAnsiTheme="majorEastAsia" w:eastAsiaTheme="majorEastAsia"/>
          <w:b/>
          <w:sz w:val="44"/>
          <w:szCs w:val="44"/>
          <w:highlight w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-1296035</wp:posOffset>
                </wp:positionH>
                <wp:positionV relativeFrom="paragraph">
                  <wp:posOffset>146050</wp:posOffset>
                </wp:positionV>
                <wp:extent cx="8920480" cy="0"/>
                <wp:effectExtent l="0" t="28575" r="13970" b="28575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2048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2.05pt;margin-top:11.5pt;height:0pt;width:702.4pt;z-index:251666432;mso-width-relative:page;mso-height-relative:page;" filled="f" stroked="t" coordsize="21600,21600" o:gfxdata="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FbijgjZAAAACwEAAA8AAAAA&#10;AAAAAQAgAAAAIgAAAGRycy9kb3ducmV2LnhtbFBLAQIUABQAAAAIAIdO4kAXm32d2gEAAJ0DAAAO&#10;AAAAAAAAAAEAIAAAACgBAABkcnMvZTJvRG9jLnhtbFBLBQYAAAAABgAGAFkBAAB0BQAAAAA=&#10;">
                <v:fill on="f" focussize="0,0"/>
                <v:stroke weight="4.5pt" color="#000000 [3213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9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rPr>
          <w:rFonts w:ascii="黑体" w:hAnsi="黑体" w:eastAsia="黑体" w:cs="Times New Roman"/>
          <w:b/>
          <w:bCs/>
          <w:sz w:val="30"/>
          <w:szCs w:val="30"/>
          <w:highlight w:val="none"/>
        </w:rPr>
      </w:pPr>
      <w:r>
        <w:rPr>
          <w:rFonts w:hint="eastAsia" w:ascii="黑体" w:hAnsi="黑体" w:eastAsia="黑体" w:cs="Times New Roman"/>
          <w:b/>
          <w:bCs/>
          <w:sz w:val="30"/>
          <w:szCs w:val="30"/>
          <w:highlight w:val="none"/>
        </w:rPr>
        <w:t>地块控制指标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1、管理单元划分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根据主要道路切割作为管理单元划分的依据。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编码体系结合单元划定相关指南要求，原则上与行政管理层级对应，管理单元采用五级十二位编码方法，采用“市-县-镇-单元-地块（含街区）”5级编码体系。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本地块处在“JM-HS-03-01”单元，其中“JM”代表江门市，“HS”代表鹤山市，“03”代表控制性详细规划编制区所属行政区划（镇街级）雅瑶镇代码，“03-01”代表该雅瑶镇所属01号管理单元，即“JM-HS-03-01”代表江门市（地级市）鹤山市（县级）雅瑶镇（镇级）01号管理单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整个本片区内共划分4个管理街区，分别为：JM-HS-03-01-01至04。根据实际结合支路将每个管理单元划分为数量不等的地块。本次控规编制共划分22个地块。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rPr>
          <w:rFonts w:hint="eastAsia" w:cs="Times New Roman" w:asciiTheme="minorEastAsia" w:hAnsiTheme="minorEastAsia"/>
          <w:bCs/>
          <w:color w:val="auto"/>
          <w:sz w:val="24"/>
          <w:szCs w:val="24"/>
          <w:highlight w:val="none"/>
        </w:rPr>
      </w:pPr>
      <w:r>
        <w:rPr>
          <w:rFonts w:hint="eastAsia" w:cs="Times New Roman" w:asciiTheme="minorEastAsia" w:hAnsiTheme="minorEastAsia"/>
          <w:bCs/>
          <w:color w:val="auto"/>
          <w:sz w:val="24"/>
          <w:szCs w:val="24"/>
          <w:highlight w:val="none"/>
          <w:lang w:val="en-US" w:eastAsia="zh-CN"/>
        </w:rPr>
        <w:t>2、</w:t>
      </w:r>
      <w:r>
        <w:rPr>
          <w:rFonts w:hint="eastAsia" w:cs="Times New Roman" w:asciiTheme="minorEastAsia" w:hAnsiTheme="minorEastAsia"/>
          <w:bCs/>
          <w:color w:val="auto"/>
          <w:sz w:val="24"/>
          <w:szCs w:val="24"/>
          <w:highlight w:val="none"/>
        </w:rPr>
        <w:t>地块划分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结合道路和自然界线，在编制区内进行地块划分，从上至下，从左往右确定地块编码。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25" w:leftChars="250" w:right="525" w:rightChars="250" w:firstLine="480" w:firstLineChars="200"/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bCs/>
          <w:sz w:val="24"/>
          <w:szCs w:val="24"/>
          <w:highlight w:val="none"/>
          <w:lang w:val="en-US" w:eastAsia="zh-CN"/>
        </w:rPr>
        <w:t>地块编码采用五级十二位编码方法，由地级市行政区划英文字母、县级市行政区划英文字母、所属镇街代码、管理单元代码、街区号+地块号组成，五者之间以“-”连接，即表示为“JM-HS-03-01-0102”，其中“JM”代表江门市，“HS”代表鹤山市，“03”代表控制性详细规划编制区所属行政区划（镇街级）雅瑶镇代码，“03-01”代表该雅瑶镇所属01号管理单元，“0102”代表雅瑶镇01号管理单元01号街区02号地块，即“JM-HS-03-01-0102”代表江门市（地级市）鹤山市（县级）雅瑶镇（镇级）01号管理单元01号街区02号地块。</w:t>
      </w:r>
    </w:p>
    <w:p>
      <w:pPr>
        <w:pStyle w:val="2"/>
        <w:rPr>
          <w:rFonts w:hint="eastAsia" w:cs="Times New Roman" w:asciiTheme="minorEastAsia" w:hAnsiTheme="minorEastAsia"/>
          <w:bCs/>
          <w:sz w:val="24"/>
          <w:szCs w:val="24"/>
          <w:highlight w:val="none"/>
        </w:rPr>
      </w:pPr>
    </w:p>
    <w:p>
      <w:pPr>
        <w:pStyle w:val="2"/>
        <w:rPr>
          <w:rFonts w:hint="eastAsia" w:cs="Times New Roman" w:asciiTheme="minorEastAsia" w:hAnsiTheme="minorEastAsia"/>
          <w:bCs/>
          <w:sz w:val="24"/>
          <w:szCs w:val="24"/>
          <w:highlight w:val="none"/>
        </w:rPr>
      </w:pPr>
    </w:p>
    <w:p>
      <w:pPr>
        <w:pStyle w:val="2"/>
        <w:rPr>
          <w:rFonts w:hint="eastAsia" w:cs="Times New Roman" w:asciiTheme="minorEastAsia" w:hAnsiTheme="minorEastAsia"/>
          <w:bCs/>
          <w:sz w:val="24"/>
          <w:szCs w:val="24"/>
          <w:highlight w:val="none"/>
        </w:rPr>
      </w:pPr>
    </w:p>
    <w:p>
      <w:pPr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  <w:t>《鹤山市雅瑶镇江沙片区圩镇南部单元控制性详细规划》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Theme="majorEastAsia" w:hAnsiTheme="majorEastAsia" w:eastAsiaTheme="maj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28"/>
          <w:szCs w:val="28"/>
          <w:highlight w:val="none"/>
          <w:lang w:val="en-US" w:eastAsia="zh-CN"/>
        </w:rPr>
        <w:t>草案公示文件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20" w:firstLine="0" w:firstLineChars="0"/>
        <w:rPr>
          <w:rFonts w:ascii="黑体" w:hAnsi="黑体" w:eastAsia="黑体" w:cs="Times New Roman"/>
          <w:b/>
          <w:bCs/>
          <w:sz w:val="30"/>
          <w:szCs w:val="30"/>
          <w:highlight w:val="none"/>
        </w:rPr>
      </w:pPr>
      <w:r>
        <w:rPr>
          <w:rFonts w:asciiTheme="majorEastAsia" w:hAnsiTheme="majorEastAsia" w:eastAsiaTheme="majorEastAsia"/>
          <w:b/>
          <w:sz w:val="44"/>
          <w:szCs w:val="44"/>
          <w:highlight w:val="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-1296035</wp:posOffset>
                </wp:positionH>
                <wp:positionV relativeFrom="paragraph">
                  <wp:posOffset>146050</wp:posOffset>
                </wp:positionV>
                <wp:extent cx="8920480" cy="0"/>
                <wp:effectExtent l="0" t="28575" r="13970" b="28575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2048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2.05pt;margin-top:11.5pt;height:0pt;width:702.4pt;z-index:251674624;mso-width-relative:page;mso-height-relative:page;" filled="f" stroked="t" coordsize="21600,21600" o:gfxdata="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FbijgjZAAAACwEAAA8AAAAA&#10;AAAAAQAgAAAAIgAAAGRycy9kb3ducmV2LnhtbFBLAQIUABQAAAAIAIdO4kBbmf3h2gEAAJ0DAAAO&#10;AAAAAAAAAAEAIAAAACgBAABkcnMvZTJvRG9jLnhtbFBLBQYAAAAABgAGAFkBAAB0BQAAAAA=&#10;">
                <v:fill on="f" focussize="0,0"/>
                <v:stroke weight="4.5pt" color="#000000 [3213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2"/>
        <w:rPr>
          <w:rFonts w:hint="eastAsia" w:cs="Times New Roman" w:asciiTheme="minorEastAsia" w:hAnsiTheme="minorEastAsia"/>
          <w:bCs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rPr>
          <w:rFonts w:hint="eastAsia" w:cs="Times New Roman" w:asciiTheme="minorEastAsia" w:hAnsiTheme="minorEastAsia" w:eastAsiaTheme="minorEastAsia"/>
          <w:bCs/>
          <w:sz w:val="28"/>
          <w:szCs w:val="28"/>
          <w:highlight w:val="none"/>
          <w:lang w:eastAsia="zh-CN"/>
        </w:rPr>
      </w:pPr>
      <w:r>
        <w:rPr>
          <w:rFonts w:hint="eastAsia" w:cs="Times New Roman" w:asciiTheme="minorEastAsia" w:hAnsiTheme="minorEastAsia" w:eastAsiaTheme="minorEastAsia"/>
          <w:bCs/>
          <w:sz w:val="28"/>
          <w:szCs w:val="28"/>
          <w:highlight w:val="none"/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5169535</wp:posOffset>
            </wp:positionH>
            <wp:positionV relativeFrom="paragraph">
              <wp:posOffset>2975610</wp:posOffset>
            </wp:positionV>
            <wp:extent cx="1659890" cy="2255520"/>
            <wp:effectExtent l="9525" t="9525" r="26035" b="20955"/>
            <wp:wrapNone/>
            <wp:docPr id="11" name="图片 11" descr="E:\00work table\20230308雅瑶南部控规\00技术图纸\用地用海规划\ps\出图1101带编码.jpg出图1101带编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E:\00work table\20230308雅瑶南部控规\00技术图纸\用地用海规划\ps\出图1101带编码.jpg出图1101带编码"/>
                    <pic:cNvPicPr>
                      <a:picLocks noChangeAspect="1"/>
                    </pic:cNvPicPr>
                  </pic:nvPicPr>
                  <pic:blipFill>
                    <a:blip r:embed="rId14"/>
                    <a:srcRect l="76698" t="52879" r="2986" b="8104"/>
                    <a:stretch>
                      <a:fillRect/>
                    </a:stretch>
                  </pic:blipFill>
                  <pic:spPr>
                    <a:xfrm>
                      <a:off x="0" y="0"/>
                      <a:ext cx="1659890" cy="22555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 w:cs="Times New Roman" w:asciiTheme="minorEastAsia" w:hAnsiTheme="minorEastAsia" w:eastAsiaTheme="minorEastAsia"/>
          <w:bCs/>
          <w:sz w:val="28"/>
          <w:szCs w:val="28"/>
          <w:highlight w:val="none"/>
          <w:lang w:eastAsia="zh-CN"/>
        </w:rPr>
        <w:drawing>
          <wp:inline distT="0" distB="0" distL="114300" distR="114300">
            <wp:extent cx="6783705" cy="5232400"/>
            <wp:effectExtent l="9525" t="9525" r="26670" b="15875"/>
            <wp:docPr id="15" name="图片 15" descr="E:\00work table\20230308雅瑶南部控规\00技术图纸\用地用海规划\ps\出图1101带编码.jpg出图1101带编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E:\00work table\20230308雅瑶南部控规\00技术图纸\用地用海规划\ps\出图1101带编码.jpg出图1101带编码"/>
                    <pic:cNvPicPr>
                      <a:picLocks noChangeAspect="1"/>
                    </pic:cNvPicPr>
                  </pic:nvPicPr>
                  <pic:blipFill>
                    <a:blip r:embed="rId14"/>
                    <a:srcRect l="6664" t="24627" r="26226" b="2189"/>
                    <a:stretch>
                      <a:fillRect/>
                    </a:stretch>
                  </pic:blipFill>
                  <pic:spPr>
                    <a:xfrm>
                      <a:off x="0" y="0"/>
                      <a:ext cx="6783705" cy="5232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rPr>
          <w:rFonts w:asciiTheme="majorEastAsia" w:hAnsiTheme="majorEastAsia" w:eastAsiaTheme="majorEastAsia"/>
          <w:b/>
          <w:sz w:val="44"/>
          <w:szCs w:val="44"/>
          <w:highlight w:val="none"/>
        </w:rPr>
      </w:pPr>
      <w:r>
        <w:rPr>
          <w:rFonts w:hint="eastAsia" w:cs="Times New Roman" w:asciiTheme="minorEastAsia" w:hAnsiTheme="minorEastAsia"/>
          <w:bCs/>
          <w:szCs w:val="21"/>
          <w:highlight w:val="none"/>
        </w:rPr>
        <w:t>图</w:t>
      </w:r>
      <w:r>
        <w:rPr>
          <w:rFonts w:hint="eastAsia" w:cs="Times New Roman" w:asciiTheme="minorEastAsia" w:hAnsiTheme="minorEastAsia"/>
          <w:bCs/>
          <w:szCs w:val="21"/>
          <w:highlight w:val="none"/>
          <w:lang w:val="en-US" w:eastAsia="zh-CN"/>
        </w:rPr>
        <w:t xml:space="preserve">八 </w:t>
      </w:r>
      <w:r>
        <w:rPr>
          <w:rFonts w:hint="eastAsia" w:cs="Times New Roman" w:asciiTheme="minorEastAsia" w:hAnsiTheme="minorEastAsia"/>
          <w:bCs/>
          <w:szCs w:val="21"/>
          <w:highlight w:val="none"/>
        </w:rPr>
        <w:t>地块划分编码图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rPr>
          <w:rFonts w:hint="eastAsia" w:asciiTheme="majorEastAsia" w:hAnsiTheme="majorEastAsia" w:eastAsiaTheme="majorEastAsia"/>
          <w:b/>
          <w:sz w:val="44"/>
          <w:szCs w:val="44"/>
          <w:highlight w:val="none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highlight w:val="none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  <w:t>《鹤山市雅瑶镇江沙片区圩镇南部单元控制性详细规划》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Theme="majorEastAsia" w:hAnsiTheme="majorEastAsia" w:eastAsiaTheme="maj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28"/>
          <w:szCs w:val="28"/>
          <w:highlight w:val="none"/>
          <w:lang w:val="en-US" w:eastAsia="zh-CN"/>
        </w:rPr>
        <w:t>草案公示文件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20" w:firstLine="0" w:firstLineChars="0"/>
        <w:rPr>
          <w:rFonts w:ascii="黑体" w:hAnsi="黑体" w:eastAsia="黑体" w:cs="Times New Roman"/>
          <w:b/>
          <w:bCs/>
          <w:sz w:val="30"/>
          <w:szCs w:val="30"/>
          <w:highlight w:val="none"/>
        </w:rPr>
      </w:pPr>
      <w:r>
        <w:rPr>
          <w:rFonts w:asciiTheme="majorEastAsia" w:hAnsiTheme="majorEastAsia" w:eastAsiaTheme="majorEastAsia"/>
          <w:b/>
          <w:sz w:val="44"/>
          <w:szCs w:val="44"/>
          <w:highlight w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-1296035</wp:posOffset>
                </wp:positionH>
                <wp:positionV relativeFrom="paragraph">
                  <wp:posOffset>146050</wp:posOffset>
                </wp:positionV>
                <wp:extent cx="8920480" cy="0"/>
                <wp:effectExtent l="0" t="28575" r="13970" b="28575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2048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2.05pt;margin-top:11.5pt;height:0pt;width:702.4pt;z-index:251667456;mso-width-relative:page;mso-height-relative:page;" filled="f" stroked="t" coordsize="21600,21600" o:gfxdata="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FbijgjZAAAACwEAAA8AAAAA&#10;AAAAAQAgAAAAIgAAAGRycy9kb3ducmV2LnhtbFBLAQIUABQAAAAIAIdO4kDTmv222gEAAJ0DAAAO&#10;AAAAAAAAAAEAIAAAACgBAABkcnMvZTJvRG9jLnhtbFBLBQYAAAAABgAGAFkBAAB0BQAAAAA=&#10;">
                <v:fill on="f" focussize="0,0"/>
                <v:stroke weight="4.5pt" color="#000000 [3213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rPr>
          <w:rFonts w:hint="eastAsia" w:cs="Times New Roman" w:asciiTheme="minorEastAsia" w:hAnsiTheme="minorEastAsia"/>
          <w:bCs/>
          <w:sz w:val="28"/>
          <w:szCs w:val="28"/>
          <w:highlight w:val="none"/>
        </w:rPr>
      </w:pPr>
      <w:r>
        <w:rPr>
          <w:rFonts w:hint="eastAsia" w:cs="Times New Roman" w:asciiTheme="minorEastAsia" w:hAnsiTheme="minorEastAsia"/>
          <w:bCs/>
          <w:sz w:val="28"/>
          <w:szCs w:val="28"/>
          <w:highlight w:val="none"/>
        </w:rPr>
        <w:t>附表一：国土空间用地用海规划汇总表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9"/>
        <w:gridCol w:w="1072"/>
        <w:gridCol w:w="1077"/>
        <w:gridCol w:w="3861"/>
        <w:gridCol w:w="1896"/>
        <w:gridCol w:w="17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6"/>
            <w:shd w:val="clear" w:color="auto" w:fill="BEBEBE" w:themeFill="background1" w:themeFillShade="B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国土空间用地用海规划汇总表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25" w:type="pct"/>
            <w:gridSpan w:val="3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用地用海分类代码</w:t>
            </w:r>
          </w:p>
        </w:tc>
        <w:tc>
          <w:tcPr>
            <w:tcW w:w="1739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用地用海分类名称</w:t>
            </w:r>
          </w:p>
        </w:tc>
        <w:tc>
          <w:tcPr>
            <w:tcW w:w="854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用地面积（㎡）</w:t>
            </w:r>
          </w:p>
        </w:tc>
        <w:tc>
          <w:tcPr>
            <w:tcW w:w="780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比例（%）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25" w:type="pct"/>
            <w:gridSpan w:val="3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739" w:type="pct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54" w:type="pct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80" w:type="pct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25" w:type="pct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01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耕地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59855.46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11.20%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25" w:type="pct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03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林地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45982.90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8.60%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25" w:type="pct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04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草地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2540.03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0.48%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25" w:type="pct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05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湿地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8950.81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1.67%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25" w:type="pct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07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居住用地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194106.89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36.32%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7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其中</w:t>
            </w:r>
          </w:p>
        </w:tc>
        <w:tc>
          <w:tcPr>
            <w:tcW w:w="967" w:type="pct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0701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城镇住宅用地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145448.89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27.22%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7" w:type="pct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其中</w:t>
            </w:r>
          </w:p>
        </w:tc>
        <w:tc>
          <w:tcPr>
            <w:tcW w:w="48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070102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二类城镇住宅用地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145448.89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27.22%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7" w:type="pct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7" w:type="pct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0703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农村宅基地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48658.00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9.10%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25" w:type="pct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08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公共管理与公共服务用地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27932.70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5.23%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其中</w:t>
            </w:r>
          </w:p>
        </w:tc>
        <w:tc>
          <w:tcPr>
            <w:tcW w:w="967" w:type="pct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0804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教育用地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27932.70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5.23%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7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其中</w:t>
            </w:r>
          </w:p>
        </w:tc>
        <w:tc>
          <w:tcPr>
            <w:tcW w:w="48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080404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幼儿园用地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8828.62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1.65%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25" w:type="pct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09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商业服务业用地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18589.59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3.48%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其中</w:t>
            </w:r>
          </w:p>
        </w:tc>
        <w:tc>
          <w:tcPr>
            <w:tcW w:w="967" w:type="pct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0901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商业用地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18589.59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3.48%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25" w:type="pct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交通运输用地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128563.27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24.06%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其中</w:t>
            </w:r>
          </w:p>
        </w:tc>
        <w:tc>
          <w:tcPr>
            <w:tcW w:w="967" w:type="pct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1207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城镇道路用地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128563.27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24.06%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25" w:type="pct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公用设施用地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3045.27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0.57%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7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其中</w:t>
            </w:r>
          </w:p>
        </w:tc>
        <w:tc>
          <w:tcPr>
            <w:tcW w:w="967" w:type="pct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1302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排水用地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2106.73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0.39%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7" w:type="pct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7" w:type="pct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1309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环卫用地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804.19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7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7" w:type="pct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1312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水工设施用地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134.35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0.03%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25" w:type="pct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绿地与开敞空间用地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12844.89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2.40%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7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其中</w:t>
            </w:r>
          </w:p>
        </w:tc>
        <w:tc>
          <w:tcPr>
            <w:tcW w:w="967" w:type="pct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1401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公园绿地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10472.87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1.96%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7" w:type="pct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7" w:type="pct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1403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广场用地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2372.02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0.44%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25" w:type="pct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特殊用地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75.42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其中</w:t>
            </w:r>
          </w:p>
        </w:tc>
        <w:tc>
          <w:tcPr>
            <w:tcW w:w="967" w:type="pct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1504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文物古迹用地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75.42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25" w:type="pct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陆地水域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31933.77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5.98%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7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其中</w:t>
            </w:r>
          </w:p>
        </w:tc>
        <w:tc>
          <w:tcPr>
            <w:tcW w:w="967" w:type="pct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1701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河流水面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5969.61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1.12%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7" w:type="pct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7" w:type="pct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1704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坑塘水面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25964.16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4.86%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25" w:type="pct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1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总用地</w:t>
            </w:r>
          </w:p>
        </w:tc>
        <w:tc>
          <w:tcPr>
            <w:tcW w:w="85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534421.00 </w:t>
            </w:r>
          </w:p>
        </w:tc>
        <w:tc>
          <w:tcPr>
            <w:tcW w:w="78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100.00%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rPr>
          <w:rFonts w:cs="Times New Roman" w:asciiTheme="minorEastAsia" w:hAnsiTheme="minorEastAsia"/>
          <w:bCs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rPr>
          <w:rFonts w:cs="Times New Roman" w:asciiTheme="minorEastAsia" w:hAnsiTheme="minorEastAsia"/>
          <w:bCs/>
          <w:sz w:val="28"/>
          <w:szCs w:val="28"/>
          <w:highlight w:val="none"/>
        </w:rPr>
      </w:pPr>
      <w:r>
        <w:rPr>
          <w:rFonts w:hint="eastAsia" w:cs="Times New Roman" w:asciiTheme="minorEastAsia" w:hAnsiTheme="minorEastAsia"/>
          <w:bCs/>
          <w:sz w:val="28"/>
          <w:szCs w:val="28"/>
          <w:highlight w:val="none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rPr>
          <w:rFonts w:hint="eastAsia" w:asciiTheme="majorEastAsia" w:hAnsiTheme="majorEastAsia" w:eastAsiaTheme="majorEastAsia"/>
          <w:b/>
          <w:sz w:val="44"/>
          <w:szCs w:val="44"/>
          <w:highlight w:val="none"/>
        </w:rPr>
        <w:sectPr>
          <w:footerReference r:id="rId3" w:type="default"/>
          <w:pgSz w:w="11906" w:h="16838"/>
          <w:pgMar w:top="720" w:right="510" w:bottom="720" w:left="51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highlight w:val="none"/>
          <w:lang w:eastAsia="zh-CN"/>
        </w:rPr>
        <w:t>《鹤山市雅瑶镇江沙片区圩镇南部单元控制性详细规划》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Theme="majorEastAsia" w:hAnsiTheme="majorEastAsia" w:eastAsiaTheme="maj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28"/>
          <w:szCs w:val="28"/>
          <w:highlight w:val="none"/>
          <w:lang w:val="en-US" w:eastAsia="zh-CN"/>
        </w:rPr>
        <w:t>草案公示文件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20" w:firstLine="0" w:firstLineChars="0"/>
        <w:rPr>
          <w:rFonts w:ascii="黑体" w:hAnsi="黑体" w:eastAsia="黑体" w:cs="Times New Roman"/>
          <w:b/>
          <w:bCs/>
          <w:sz w:val="30"/>
          <w:szCs w:val="30"/>
          <w:highlight w:val="none"/>
        </w:rPr>
      </w:pPr>
      <w:r>
        <w:rPr>
          <w:rFonts w:asciiTheme="majorEastAsia" w:hAnsiTheme="majorEastAsia" w:eastAsiaTheme="majorEastAsia"/>
          <w:b/>
          <w:sz w:val="44"/>
          <w:szCs w:val="44"/>
          <w:highlight w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-1296035</wp:posOffset>
                </wp:positionH>
                <wp:positionV relativeFrom="paragraph">
                  <wp:posOffset>146050</wp:posOffset>
                </wp:positionV>
                <wp:extent cx="16215360" cy="0"/>
                <wp:effectExtent l="0" t="28575" r="15240" b="28575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1536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2.05pt;margin-top:11.5pt;height:0pt;width:1276.8pt;z-index:251668480;mso-width-relative:page;mso-height-relative:page;" filled="f" stroked="t" coordsize="21600,21600" o:gfxdata="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i3mqodsAAAALAQAADwAA&#10;AAAAAAABACAAAAAiAAAAZHJzL2Rvd25yZXYueG1sUEsBAhQAFAAAAAgAh07iQOfmxBTaAQAAngMA&#10;AA4AAAAAAAAAAQAgAAAAKgEAAGRycy9lMm9Eb2MueG1sUEsFBgAAAAAGAAYAWQEAAHYFAAAAAA==&#10;">
                <v:fill on="f" focussize="0,0"/>
                <v:stroke weight="4.5pt" color="#000000 [3213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rPr>
          <w:rFonts w:hint="eastAsia" w:cs="Times New Roman" w:asciiTheme="minorEastAsia" w:hAnsiTheme="minorEastAsia"/>
          <w:bCs/>
          <w:sz w:val="28"/>
          <w:szCs w:val="28"/>
          <w:highlight w:val="none"/>
        </w:rPr>
      </w:pPr>
      <w:r>
        <w:rPr>
          <w:rFonts w:hint="eastAsia" w:cs="Times New Roman" w:asciiTheme="minorEastAsia" w:hAnsiTheme="minorEastAsia"/>
          <w:bCs/>
          <w:sz w:val="28"/>
          <w:szCs w:val="28"/>
          <w:highlight w:val="none"/>
        </w:rPr>
        <w:t>附表二：地块控制指标一览表</w:t>
      </w:r>
    </w:p>
    <w:tbl>
      <w:tblPr>
        <w:tblStyle w:val="7"/>
        <w:tblW w:w="2239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534"/>
        <w:gridCol w:w="666"/>
        <w:gridCol w:w="967"/>
        <w:gridCol w:w="750"/>
        <w:gridCol w:w="500"/>
        <w:gridCol w:w="400"/>
        <w:gridCol w:w="989"/>
        <w:gridCol w:w="1096"/>
        <w:gridCol w:w="1096"/>
        <w:gridCol w:w="658"/>
        <w:gridCol w:w="769"/>
        <w:gridCol w:w="769"/>
        <w:gridCol w:w="672"/>
        <w:gridCol w:w="468"/>
        <w:gridCol w:w="500"/>
        <w:gridCol w:w="482"/>
        <w:gridCol w:w="417"/>
        <w:gridCol w:w="950"/>
        <w:gridCol w:w="1651"/>
        <w:gridCol w:w="1666"/>
        <w:gridCol w:w="1567"/>
        <w:gridCol w:w="40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239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地块规划控制指标表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管理单元编码</w:t>
            </w:r>
          </w:p>
        </w:tc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管理单元序号</w:t>
            </w:r>
          </w:p>
        </w:tc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地块编码</w:t>
            </w:r>
          </w:p>
        </w:tc>
        <w:tc>
          <w:tcPr>
            <w:tcW w:w="9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用地用海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分类代码</w:t>
            </w:r>
          </w:p>
        </w:tc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用地用海分类名称</w:t>
            </w:r>
          </w:p>
        </w:tc>
        <w:tc>
          <w:tcPr>
            <w:tcW w:w="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土地使用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兼容性</w:t>
            </w:r>
          </w:p>
        </w:tc>
        <w:tc>
          <w:tcPr>
            <w:tcW w:w="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兼容比例</w:t>
            </w: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用地面积（m²）</w:t>
            </w:r>
          </w:p>
        </w:tc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计容总建筑面积（㎡）</w:t>
            </w:r>
          </w:p>
        </w:tc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地面以上总建筑面积（㎡）</w:t>
            </w:r>
          </w:p>
        </w:tc>
        <w:tc>
          <w:tcPr>
            <w:tcW w:w="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容积率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（上限）</w:t>
            </w:r>
          </w:p>
        </w:tc>
        <w:tc>
          <w:tcPr>
            <w:tcW w:w="7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绿地率（%）</w:t>
            </w:r>
          </w:p>
        </w:tc>
        <w:tc>
          <w:tcPr>
            <w:tcW w:w="7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建筑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限高（m）</w:t>
            </w:r>
          </w:p>
        </w:tc>
        <w:tc>
          <w:tcPr>
            <w:tcW w:w="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建筑密度</w:t>
            </w:r>
          </w:p>
        </w:tc>
        <w:tc>
          <w:tcPr>
            <w:tcW w:w="18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建筑退界（m）</w:t>
            </w:r>
          </w:p>
        </w:tc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交通出入口方位</w:t>
            </w:r>
          </w:p>
        </w:tc>
        <w:tc>
          <w:tcPr>
            <w:tcW w:w="16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停车位</w:t>
            </w:r>
          </w:p>
        </w:tc>
        <w:tc>
          <w:tcPr>
            <w:tcW w:w="16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公共服务设施</w:t>
            </w:r>
          </w:p>
        </w:tc>
        <w:tc>
          <w:tcPr>
            <w:tcW w:w="1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市政服务设施</w:t>
            </w:r>
          </w:p>
        </w:tc>
        <w:tc>
          <w:tcPr>
            <w:tcW w:w="4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东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南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西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北</w:t>
            </w: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6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JM-HS-03-01</w:t>
            </w:r>
          </w:p>
        </w:tc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01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0101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1504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文物古迹用地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75.42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文物保护单位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雅瑶猛潦桥（一般不可移动文物）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0102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070302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二类城镇住宅用地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5437.68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13594.2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13594.2 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2.5 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≥30%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≤30%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西、南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1.2车位/100㎡住宅建筑面积或1.2车位/1户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卫星通信地球站、生活垃圾分类收集点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三旧改造划定范围，具体按照“三旧”改造方案及相关文件落实执行。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0103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0901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商业用地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16613.46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58147.1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58147.11 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3.5 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≥20%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≤55%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南、北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1车位/100㎡建筑面积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社会公共停车场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0104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070302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二类城镇住宅用地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7307.89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18269.7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18269.74 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2.5 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≥30%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≤30%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东、南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1.2车位/100㎡住宅建筑面积或1.2车位/1户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菜市场或生鲜超市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生活垃圾分类收集点、公共厕所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三旧改造划定范围，具体按照“三旧”改造方案及相关文件落实执行。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0105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0804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教育用地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19104.08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东、西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3车位/100学生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小学、幼儿园、村委会、应急避难疏散场所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宝瑶纪念小学、雅瑶镇中心幼儿园、雅瑶村委会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0106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0901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商业用地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1976.13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6916.4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6916.45 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3.5 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≥20%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≤55%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1车位/100㎡建筑面积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基督教堂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基督教雅瑶堂、现状临街建筑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0107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070302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二类城镇住宅用地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8868.84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24832.8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24832.8 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2.8 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≥30%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≤30%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东、西、北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1.2车位/100㎡住宅建筑面积或1.2车位/1户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社会公共停车场、邮政局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卫星通信地球站、生活垃圾分类收集点、公共厕所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鹤山市邮政局雅瑶邮政所。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三旧改造划定范围，具体按照“三旧”改造方案及相关文件落实执行。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02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0201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0703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农村宅基地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28123.03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≤12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安宁村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0202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0703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农村宅基地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20534.96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≤12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安宁村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0203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070302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二类城镇住宅用地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19133.84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47834.6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47834.60 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2.5 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≥30%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≤30%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东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1.2车位/100㎡住宅建筑面积或1.2车位/1户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社区卫生服务中心/村卫生服务站、文化活动站、社区服务中心、老年日间照料中心（托老所）、警务室、应急避难疏散场所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公共厕所、生活垃圾分类收集点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雅瑶镇新雅社区党群服务中心、雅瑶卫生站、雅瑶新雅诊所。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三旧改造划定范围，具体按照“三旧”改造方案及相关文件落实执行。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0204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1403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广场用地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2372.02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小型球类场地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公共厕所、生活垃圾分类收集点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雅瑶镇文化广场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0205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070302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二类城镇住宅用地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9261.03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23152.6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23152.56 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2.5 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≥30%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≤30%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东、西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1.2车位/100㎡住宅建筑面积或1.2车位/1户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生活垃圾分类收集点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三旧改造划定范围，具体按照“三旧”改造方案及相关文件落实执行。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03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0301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水工设施用地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134.35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水闸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雅瑶水闸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0302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070302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二类城镇住宅用地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45277.11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113192.8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113192.8 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2.8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≥30%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≤30%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东、南、西、北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1.2车位/100㎡住宅建筑面积或1.2车位/1户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文化活动站、老年日间照料中心（托老所）、肉菜市场或生鲜超市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公共厕所、生活垃圾分类收集点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三旧改造划定范围，具体按照“三旧”改造方案及相关文件落实执行。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0303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1302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排水用地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1972.38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污水处理厂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鹤山市雅瑶镇污水处理厂，设计规模：3.0万m³/d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0304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1309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环卫用地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804.19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生活垃圾转运站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雅瑶垃圾中转站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0305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1402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公园绿地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10472.87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社会公共停车场、中型球类场地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公共厕所、生活垃圾分类收集点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0306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070302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二类城镇住宅用地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15119.15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42333.61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42333.61 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2.8 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≥30%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≤30%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东、南、西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1.2车位/100㎡住宅建筑面积或1.2车位/1户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生活垃圾分类收集点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三旧改造划定范围，具体按照“三旧”改造方案及相关文件落实执行。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04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0401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070302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二类城镇住宅用地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25678.12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64195.3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64195.3 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2.8 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≥30%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≤30%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东、南、西、北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1.2车位/100㎡住宅建筑面积或1.2车位/1户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生活垃圾分类收集点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三旧改造划定范围，具体按照“三旧”改造方案及相关文件落实执行。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0402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070302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二类城镇住宅用地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9365.24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生活垃圾分类收集点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锦绣悦府，已批已建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0403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080404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幼儿园用地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8828.62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北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2车位/100学生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—</w:t>
            </w:r>
          </w:p>
        </w:tc>
      </w:tr>
    </w:tbl>
    <w:p>
      <w:pPr>
        <w:pStyle w:val="2"/>
        <w:rPr>
          <w:rFonts w:hint="eastAsia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rPr>
          <w:rFonts w:cs="Times New Roman" w:asciiTheme="minorEastAsia" w:hAnsiTheme="minorEastAsia"/>
          <w:bCs/>
          <w:sz w:val="28"/>
          <w:szCs w:val="28"/>
          <w:highlight w:val="none"/>
        </w:rPr>
      </w:pPr>
    </w:p>
    <w:sectPr>
      <w:pgSz w:w="23811" w:h="16838" w:orient="landscape"/>
      <w:pgMar w:top="510" w:right="720" w:bottom="51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2F2987"/>
    <w:multiLevelType w:val="singleLevel"/>
    <w:tmpl w:val="8F2F2987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F05FCD7D"/>
    <w:multiLevelType w:val="singleLevel"/>
    <w:tmpl w:val="F05FCD7D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7E2224D6"/>
    <w:multiLevelType w:val="multilevel"/>
    <w:tmpl w:val="7E2224D6"/>
    <w:lvl w:ilvl="0" w:tentative="0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cxMGY1ZjliMzYxNGE2OWFjNzI5M2JjYmZlZmNkZDUifQ=="/>
    <w:docVar w:name="KSO_WPS_MARK_KEY" w:val="419e896d-eca0-4a79-afe3-799c8749cd22"/>
  </w:docVars>
  <w:rsids>
    <w:rsidRoot w:val="00422C75"/>
    <w:rsid w:val="000129AB"/>
    <w:rsid w:val="00087794"/>
    <w:rsid w:val="00092FD5"/>
    <w:rsid w:val="000C1D06"/>
    <w:rsid w:val="001059E6"/>
    <w:rsid w:val="001110B7"/>
    <w:rsid w:val="0012733E"/>
    <w:rsid w:val="00140290"/>
    <w:rsid w:val="00180C62"/>
    <w:rsid w:val="001975DB"/>
    <w:rsid w:val="001A4302"/>
    <w:rsid w:val="001B7481"/>
    <w:rsid w:val="001F146D"/>
    <w:rsid w:val="001F36FB"/>
    <w:rsid w:val="00256425"/>
    <w:rsid w:val="00270FFE"/>
    <w:rsid w:val="00283F98"/>
    <w:rsid w:val="00292252"/>
    <w:rsid w:val="002D2698"/>
    <w:rsid w:val="002D66A0"/>
    <w:rsid w:val="00305CE7"/>
    <w:rsid w:val="00322340"/>
    <w:rsid w:val="00327A0B"/>
    <w:rsid w:val="003337A2"/>
    <w:rsid w:val="00392639"/>
    <w:rsid w:val="00393E10"/>
    <w:rsid w:val="003A1019"/>
    <w:rsid w:val="003B30C3"/>
    <w:rsid w:val="003E7703"/>
    <w:rsid w:val="003F13B1"/>
    <w:rsid w:val="00404DD8"/>
    <w:rsid w:val="004158D2"/>
    <w:rsid w:val="00422C75"/>
    <w:rsid w:val="004506C8"/>
    <w:rsid w:val="00460670"/>
    <w:rsid w:val="00471DBF"/>
    <w:rsid w:val="00475F35"/>
    <w:rsid w:val="004810EF"/>
    <w:rsid w:val="004A7A2B"/>
    <w:rsid w:val="004D17C9"/>
    <w:rsid w:val="004F7136"/>
    <w:rsid w:val="00515334"/>
    <w:rsid w:val="00535E7A"/>
    <w:rsid w:val="005637E5"/>
    <w:rsid w:val="005A6463"/>
    <w:rsid w:val="005C2048"/>
    <w:rsid w:val="005E738E"/>
    <w:rsid w:val="005F5130"/>
    <w:rsid w:val="00600EF0"/>
    <w:rsid w:val="0060101E"/>
    <w:rsid w:val="00601D4B"/>
    <w:rsid w:val="00625204"/>
    <w:rsid w:val="00631A83"/>
    <w:rsid w:val="00653158"/>
    <w:rsid w:val="006C5394"/>
    <w:rsid w:val="006C663D"/>
    <w:rsid w:val="006D72AC"/>
    <w:rsid w:val="006E1D31"/>
    <w:rsid w:val="006F0087"/>
    <w:rsid w:val="00707F08"/>
    <w:rsid w:val="0076219D"/>
    <w:rsid w:val="00775C70"/>
    <w:rsid w:val="007C7B7A"/>
    <w:rsid w:val="007E787C"/>
    <w:rsid w:val="007F5268"/>
    <w:rsid w:val="007F7FEC"/>
    <w:rsid w:val="0084763A"/>
    <w:rsid w:val="00854B51"/>
    <w:rsid w:val="008B487C"/>
    <w:rsid w:val="009023E1"/>
    <w:rsid w:val="00903B06"/>
    <w:rsid w:val="009215AD"/>
    <w:rsid w:val="00927F11"/>
    <w:rsid w:val="009826B8"/>
    <w:rsid w:val="009907D0"/>
    <w:rsid w:val="009C44AD"/>
    <w:rsid w:val="009E40F6"/>
    <w:rsid w:val="00A00C71"/>
    <w:rsid w:val="00A03BAE"/>
    <w:rsid w:val="00A22047"/>
    <w:rsid w:val="00A85364"/>
    <w:rsid w:val="00AD4905"/>
    <w:rsid w:val="00AD528C"/>
    <w:rsid w:val="00B1397C"/>
    <w:rsid w:val="00B21B4C"/>
    <w:rsid w:val="00B42373"/>
    <w:rsid w:val="00B4687B"/>
    <w:rsid w:val="00B547FE"/>
    <w:rsid w:val="00BA5F56"/>
    <w:rsid w:val="00BB0048"/>
    <w:rsid w:val="00BB61D2"/>
    <w:rsid w:val="00BD152E"/>
    <w:rsid w:val="00BD1F9E"/>
    <w:rsid w:val="00BF4A3F"/>
    <w:rsid w:val="00C01F4A"/>
    <w:rsid w:val="00C13478"/>
    <w:rsid w:val="00C26F68"/>
    <w:rsid w:val="00C476B6"/>
    <w:rsid w:val="00C70967"/>
    <w:rsid w:val="00C91853"/>
    <w:rsid w:val="00CC01F1"/>
    <w:rsid w:val="00CC71EC"/>
    <w:rsid w:val="00CF7B1E"/>
    <w:rsid w:val="00CF7F16"/>
    <w:rsid w:val="00D22D9C"/>
    <w:rsid w:val="00D62297"/>
    <w:rsid w:val="00D6525C"/>
    <w:rsid w:val="00D87CAA"/>
    <w:rsid w:val="00D93BFD"/>
    <w:rsid w:val="00DB7922"/>
    <w:rsid w:val="00E42ED7"/>
    <w:rsid w:val="00E43552"/>
    <w:rsid w:val="00E57F2D"/>
    <w:rsid w:val="00EA1F0F"/>
    <w:rsid w:val="00EA2BD6"/>
    <w:rsid w:val="00ED50BA"/>
    <w:rsid w:val="00EE1262"/>
    <w:rsid w:val="00EF29B7"/>
    <w:rsid w:val="00F50088"/>
    <w:rsid w:val="00F53C62"/>
    <w:rsid w:val="00F816A7"/>
    <w:rsid w:val="00F932F1"/>
    <w:rsid w:val="011D50D0"/>
    <w:rsid w:val="01592DC2"/>
    <w:rsid w:val="015E6884"/>
    <w:rsid w:val="01883121"/>
    <w:rsid w:val="018855FA"/>
    <w:rsid w:val="01CF3300"/>
    <w:rsid w:val="02394965"/>
    <w:rsid w:val="02551DAD"/>
    <w:rsid w:val="02694614"/>
    <w:rsid w:val="026954E1"/>
    <w:rsid w:val="0274308C"/>
    <w:rsid w:val="02902A6D"/>
    <w:rsid w:val="02B81FC4"/>
    <w:rsid w:val="039E67A0"/>
    <w:rsid w:val="03A553E2"/>
    <w:rsid w:val="03CF5817"/>
    <w:rsid w:val="03D47923"/>
    <w:rsid w:val="03F51722"/>
    <w:rsid w:val="047911B1"/>
    <w:rsid w:val="04DA4474"/>
    <w:rsid w:val="04DF66CD"/>
    <w:rsid w:val="055677A9"/>
    <w:rsid w:val="059A0B35"/>
    <w:rsid w:val="05A131E3"/>
    <w:rsid w:val="05AD7DDA"/>
    <w:rsid w:val="05C04FA9"/>
    <w:rsid w:val="05CB1D82"/>
    <w:rsid w:val="062C6F51"/>
    <w:rsid w:val="064918B1"/>
    <w:rsid w:val="06932B28"/>
    <w:rsid w:val="06AA4ECB"/>
    <w:rsid w:val="06AB60C8"/>
    <w:rsid w:val="06BE3492"/>
    <w:rsid w:val="078B2CB0"/>
    <w:rsid w:val="07DE24CD"/>
    <w:rsid w:val="07F77D6D"/>
    <w:rsid w:val="08814A8F"/>
    <w:rsid w:val="08F57ACE"/>
    <w:rsid w:val="09DC47EA"/>
    <w:rsid w:val="0A9B7052"/>
    <w:rsid w:val="0B664CB3"/>
    <w:rsid w:val="0B9819B3"/>
    <w:rsid w:val="0BA045AA"/>
    <w:rsid w:val="0BFF003E"/>
    <w:rsid w:val="0C1A12C9"/>
    <w:rsid w:val="0C676F35"/>
    <w:rsid w:val="0C7238B1"/>
    <w:rsid w:val="0D422440"/>
    <w:rsid w:val="0DCB52A1"/>
    <w:rsid w:val="0DE70C59"/>
    <w:rsid w:val="0DFE15F9"/>
    <w:rsid w:val="0E236E8B"/>
    <w:rsid w:val="0E5E78D6"/>
    <w:rsid w:val="0F990078"/>
    <w:rsid w:val="0FA22A6E"/>
    <w:rsid w:val="0FF70755"/>
    <w:rsid w:val="0FFF593D"/>
    <w:rsid w:val="106317E7"/>
    <w:rsid w:val="10721E9C"/>
    <w:rsid w:val="10795489"/>
    <w:rsid w:val="115D3617"/>
    <w:rsid w:val="12525F91"/>
    <w:rsid w:val="125860AD"/>
    <w:rsid w:val="125A4E46"/>
    <w:rsid w:val="12641821"/>
    <w:rsid w:val="127E5B2B"/>
    <w:rsid w:val="12C81DAF"/>
    <w:rsid w:val="12C96963"/>
    <w:rsid w:val="130E0362"/>
    <w:rsid w:val="133E02C4"/>
    <w:rsid w:val="13826402"/>
    <w:rsid w:val="13AB4BDA"/>
    <w:rsid w:val="1417151B"/>
    <w:rsid w:val="14397437"/>
    <w:rsid w:val="145002AE"/>
    <w:rsid w:val="14506500"/>
    <w:rsid w:val="14632D00"/>
    <w:rsid w:val="14B8786B"/>
    <w:rsid w:val="14CB609A"/>
    <w:rsid w:val="14F50E56"/>
    <w:rsid w:val="1506244C"/>
    <w:rsid w:val="153C45B1"/>
    <w:rsid w:val="15815280"/>
    <w:rsid w:val="15C83600"/>
    <w:rsid w:val="15F657BD"/>
    <w:rsid w:val="16610551"/>
    <w:rsid w:val="16A81B37"/>
    <w:rsid w:val="16B72867"/>
    <w:rsid w:val="172040E0"/>
    <w:rsid w:val="172F064F"/>
    <w:rsid w:val="175B7763"/>
    <w:rsid w:val="17753405"/>
    <w:rsid w:val="17997D50"/>
    <w:rsid w:val="17D13AF8"/>
    <w:rsid w:val="17D47448"/>
    <w:rsid w:val="17DC51E9"/>
    <w:rsid w:val="1802515E"/>
    <w:rsid w:val="180D2957"/>
    <w:rsid w:val="183240AF"/>
    <w:rsid w:val="1890336F"/>
    <w:rsid w:val="193C2D8F"/>
    <w:rsid w:val="195A572B"/>
    <w:rsid w:val="195F0AAC"/>
    <w:rsid w:val="19E717A3"/>
    <w:rsid w:val="1A253329"/>
    <w:rsid w:val="1A736AA5"/>
    <w:rsid w:val="1B8C2514"/>
    <w:rsid w:val="1BA03497"/>
    <w:rsid w:val="1C7B77DD"/>
    <w:rsid w:val="1C980A44"/>
    <w:rsid w:val="1C9A47BD"/>
    <w:rsid w:val="1CDA105D"/>
    <w:rsid w:val="1D160C4A"/>
    <w:rsid w:val="1DFA2A9A"/>
    <w:rsid w:val="1EBC238B"/>
    <w:rsid w:val="1ECF44C6"/>
    <w:rsid w:val="1F114A05"/>
    <w:rsid w:val="1FA0658E"/>
    <w:rsid w:val="1FD87833"/>
    <w:rsid w:val="1FE87F35"/>
    <w:rsid w:val="1FF21B83"/>
    <w:rsid w:val="20A04C9E"/>
    <w:rsid w:val="20E348F3"/>
    <w:rsid w:val="21A25BAA"/>
    <w:rsid w:val="2226309A"/>
    <w:rsid w:val="2297354C"/>
    <w:rsid w:val="231B417D"/>
    <w:rsid w:val="23363C84"/>
    <w:rsid w:val="23506D79"/>
    <w:rsid w:val="235C6C70"/>
    <w:rsid w:val="23841D23"/>
    <w:rsid w:val="23C83843"/>
    <w:rsid w:val="24724914"/>
    <w:rsid w:val="248A3369"/>
    <w:rsid w:val="24C3687B"/>
    <w:rsid w:val="25265CF9"/>
    <w:rsid w:val="256040C9"/>
    <w:rsid w:val="25AF02BD"/>
    <w:rsid w:val="25B6018D"/>
    <w:rsid w:val="263C3DC8"/>
    <w:rsid w:val="26D46B1D"/>
    <w:rsid w:val="26FF4B49"/>
    <w:rsid w:val="27235DB6"/>
    <w:rsid w:val="27F60D15"/>
    <w:rsid w:val="27F9746B"/>
    <w:rsid w:val="28236484"/>
    <w:rsid w:val="2857143C"/>
    <w:rsid w:val="28724840"/>
    <w:rsid w:val="28996270"/>
    <w:rsid w:val="29651573"/>
    <w:rsid w:val="29727238"/>
    <w:rsid w:val="297433B0"/>
    <w:rsid w:val="29AA1DB7"/>
    <w:rsid w:val="29B175E9"/>
    <w:rsid w:val="29C67F0D"/>
    <w:rsid w:val="29D30A4A"/>
    <w:rsid w:val="2A245B88"/>
    <w:rsid w:val="2A833574"/>
    <w:rsid w:val="2AD33C98"/>
    <w:rsid w:val="2C2220D9"/>
    <w:rsid w:val="2C5D11BC"/>
    <w:rsid w:val="2CA15340"/>
    <w:rsid w:val="2CAD4098"/>
    <w:rsid w:val="2D811081"/>
    <w:rsid w:val="2EAA7E90"/>
    <w:rsid w:val="2ED00512"/>
    <w:rsid w:val="2F8D09E4"/>
    <w:rsid w:val="300853A8"/>
    <w:rsid w:val="311346E6"/>
    <w:rsid w:val="31745184"/>
    <w:rsid w:val="32A17C7B"/>
    <w:rsid w:val="32F50547"/>
    <w:rsid w:val="33B421B0"/>
    <w:rsid w:val="341C776B"/>
    <w:rsid w:val="344C4197"/>
    <w:rsid w:val="346A0AC1"/>
    <w:rsid w:val="35887450"/>
    <w:rsid w:val="35991452"/>
    <w:rsid w:val="36032F7B"/>
    <w:rsid w:val="360E0429"/>
    <w:rsid w:val="36256367"/>
    <w:rsid w:val="362765B9"/>
    <w:rsid w:val="36956276"/>
    <w:rsid w:val="36EA793A"/>
    <w:rsid w:val="36EC3A0F"/>
    <w:rsid w:val="37427E72"/>
    <w:rsid w:val="374B2E2B"/>
    <w:rsid w:val="384E6320"/>
    <w:rsid w:val="38DE1A7D"/>
    <w:rsid w:val="3954558D"/>
    <w:rsid w:val="397877DC"/>
    <w:rsid w:val="397C3FDE"/>
    <w:rsid w:val="39F62367"/>
    <w:rsid w:val="3A015A23"/>
    <w:rsid w:val="3A7E3861"/>
    <w:rsid w:val="3A7F7870"/>
    <w:rsid w:val="3AA1440B"/>
    <w:rsid w:val="3AB05D34"/>
    <w:rsid w:val="3ABE6A10"/>
    <w:rsid w:val="3ACE3D26"/>
    <w:rsid w:val="3B193DEA"/>
    <w:rsid w:val="3B241FBC"/>
    <w:rsid w:val="3C2F4917"/>
    <w:rsid w:val="3C872BEE"/>
    <w:rsid w:val="3CA2361B"/>
    <w:rsid w:val="3CB13731"/>
    <w:rsid w:val="3D143CBF"/>
    <w:rsid w:val="3D3D49C7"/>
    <w:rsid w:val="3D554ACA"/>
    <w:rsid w:val="3D7A7CB2"/>
    <w:rsid w:val="3DE93370"/>
    <w:rsid w:val="3DEE62BF"/>
    <w:rsid w:val="3E045DDE"/>
    <w:rsid w:val="3E1709AB"/>
    <w:rsid w:val="3E173A67"/>
    <w:rsid w:val="3E8F259C"/>
    <w:rsid w:val="3E9D20DC"/>
    <w:rsid w:val="3F4A7718"/>
    <w:rsid w:val="3F93711E"/>
    <w:rsid w:val="3FA012C8"/>
    <w:rsid w:val="3FA23805"/>
    <w:rsid w:val="3FC714BD"/>
    <w:rsid w:val="3FD15E98"/>
    <w:rsid w:val="403D4AA7"/>
    <w:rsid w:val="40436D96"/>
    <w:rsid w:val="4047615A"/>
    <w:rsid w:val="40713247"/>
    <w:rsid w:val="408C4C53"/>
    <w:rsid w:val="409F7527"/>
    <w:rsid w:val="40C33A32"/>
    <w:rsid w:val="40F0234E"/>
    <w:rsid w:val="410D3296"/>
    <w:rsid w:val="41601281"/>
    <w:rsid w:val="4191768D"/>
    <w:rsid w:val="41A53F06"/>
    <w:rsid w:val="41D103D1"/>
    <w:rsid w:val="42B6744E"/>
    <w:rsid w:val="43000162"/>
    <w:rsid w:val="43094A77"/>
    <w:rsid w:val="43CD3D97"/>
    <w:rsid w:val="44134CD1"/>
    <w:rsid w:val="44282275"/>
    <w:rsid w:val="4450382F"/>
    <w:rsid w:val="445A667E"/>
    <w:rsid w:val="445C6678"/>
    <w:rsid w:val="448654A3"/>
    <w:rsid w:val="44B1714F"/>
    <w:rsid w:val="44F763A1"/>
    <w:rsid w:val="454B5B5C"/>
    <w:rsid w:val="456926CF"/>
    <w:rsid w:val="46430FA1"/>
    <w:rsid w:val="466A4950"/>
    <w:rsid w:val="46784BF2"/>
    <w:rsid w:val="46A161E6"/>
    <w:rsid w:val="46D92FF2"/>
    <w:rsid w:val="46FB20E6"/>
    <w:rsid w:val="474F4DAA"/>
    <w:rsid w:val="478B5F1E"/>
    <w:rsid w:val="4799729B"/>
    <w:rsid w:val="47D35930"/>
    <w:rsid w:val="47F82926"/>
    <w:rsid w:val="486A5A34"/>
    <w:rsid w:val="49311755"/>
    <w:rsid w:val="4948541D"/>
    <w:rsid w:val="49B303BC"/>
    <w:rsid w:val="49B33379"/>
    <w:rsid w:val="49DC7913"/>
    <w:rsid w:val="4A8171EF"/>
    <w:rsid w:val="4A8B4845"/>
    <w:rsid w:val="4ABA12AA"/>
    <w:rsid w:val="4B920BD1"/>
    <w:rsid w:val="4C1B5BC3"/>
    <w:rsid w:val="4D21045F"/>
    <w:rsid w:val="4D3139B1"/>
    <w:rsid w:val="4DC73701"/>
    <w:rsid w:val="4DD15451"/>
    <w:rsid w:val="4E872543"/>
    <w:rsid w:val="4E984750"/>
    <w:rsid w:val="4EA12ED9"/>
    <w:rsid w:val="4EF96F78"/>
    <w:rsid w:val="4F8F7FCE"/>
    <w:rsid w:val="4FDC670D"/>
    <w:rsid w:val="4FDC7A55"/>
    <w:rsid w:val="50272AE0"/>
    <w:rsid w:val="505B58AC"/>
    <w:rsid w:val="505C17AE"/>
    <w:rsid w:val="50724B2D"/>
    <w:rsid w:val="509E5922"/>
    <w:rsid w:val="50AB71D7"/>
    <w:rsid w:val="51405191"/>
    <w:rsid w:val="515731D2"/>
    <w:rsid w:val="51821F5E"/>
    <w:rsid w:val="51D62822"/>
    <w:rsid w:val="529F5982"/>
    <w:rsid w:val="53E8354C"/>
    <w:rsid w:val="543C7626"/>
    <w:rsid w:val="547549D9"/>
    <w:rsid w:val="556B0E31"/>
    <w:rsid w:val="55731B6B"/>
    <w:rsid w:val="56E63878"/>
    <w:rsid w:val="57555863"/>
    <w:rsid w:val="57567899"/>
    <w:rsid w:val="579D6DD3"/>
    <w:rsid w:val="581B5CFC"/>
    <w:rsid w:val="588879ED"/>
    <w:rsid w:val="58E41CCA"/>
    <w:rsid w:val="59517CED"/>
    <w:rsid w:val="59535887"/>
    <w:rsid w:val="59593988"/>
    <w:rsid w:val="5A162684"/>
    <w:rsid w:val="5A694632"/>
    <w:rsid w:val="5A914AE8"/>
    <w:rsid w:val="5AFC5718"/>
    <w:rsid w:val="5C7B62AC"/>
    <w:rsid w:val="5D0F75A2"/>
    <w:rsid w:val="5D2E444A"/>
    <w:rsid w:val="5D5A7075"/>
    <w:rsid w:val="5D6D4FFA"/>
    <w:rsid w:val="5DC20186"/>
    <w:rsid w:val="5E021C0C"/>
    <w:rsid w:val="5E1944FD"/>
    <w:rsid w:val="5E23296D"/>
    <w:rsid w:val="5E770A0D"/>
    <w:rsid w:val="5E827D40"/>
    <w:rsid w:val="5EA27CA8"/>
    <w:rsid w:val="5EB957FA"/>
    <w:rsid w:val="5EE17A4E"/>
    <w:rsid w:val="5EF76EB2"/>
    <w:rsid w:val="5EFF3BB3"/>
    <w:rsid w:val="5FED70EB"/>
    <w:rsid w:val="606E6033"/>
    <w:rsid w:val="607D31D1"/>
    <w:rsid w:val="60830691"/>
    <w:rsid w:val="611C2FBF"/>
    <w:rsid w:val="61BA7F0E"/>
    <w:rsid w:val="61CD3FE9"/>
    <w:rsid w:val="62037CDB"/>
    <w:rsid w:val="632C09A9"/>
    <w:rsid w:val="633A772C"/>
    <w:rsid w:val="635239DB"/>
    <w:rsid w:val="63605B32"/>
    <w:rsid w:val="637846F9"/>
    <w:rsid w:val="63FB5C69"/>
    <w:rsid w:val="64004855"/>
    <w:rsid w:val="64394C1D"/>
    <w:rsid w:val="64455696"/>
    <w:rsid w:val="64B452BD"/>
    <w:rsid w:val="65297A59"/>
    <w:rsid w:val="655820EC"/>
    <w:rsid w:val="65EB2CCC"/>
    <w:rsid w:val="663811A7"/>
    <w:rsid w:val="665B1165"/>
    <w:rsid w:val="66660EE6"/>
    <w:rsid w:val="66B477F6"/>
    <w:rsid w:val="66CC2274"/>
    <w:rsid w:val="66F33870"/>
    <w:rsid w:val="67156D1B"/>
    <w:rsid w:val="67855432"/>
    <w:rsid w:val="679F2254"/>
    <w:rsid w:val="683055A2"/>
    <w:rsid w:val="683D7B57"/>
    <w:rsid w:val="68815DFE"/>
    <w:rsid w:val="68FF41F0"/>
    <w:rsid w:val="695A0B28"/>
    <w:rsid w:val="69684BE4"/>
    <w:rsid w:val="69FC25B8"/>
    <w:rsid w:val="6A222CC8"/>
    <w:rsid w:val="6AB07A7F"/>
    <w:rsid w:val="6AB74CD4"/>
    <w:rsid w:val="6AD060EF"/>
    <w:rsid w:val="6C1825D5"/>
    <w:rsid w:val="6CBC11B2"/>
    <w:rsid w:val="6CBD64D2"/>
    <w:rsid w:val="6CF7043C"/>
    <w:rsid w:val="6D3F16DE"/>
    <w:rsid w:val="6D95277F"/>
    <w:rsid w:val="6E182D60"/>
    <w:rsid w:val="6E524208"/>
    <w:rsid w:val="6EEB5D7F"/>
    <w:rsid w:val="6F025910"/>
    <w:rsid w:val="6F3920F5"/>
    <w:rsid w:val="6F9133FE"/>
    <w:rsid w:val="6FC6798D"/>
    <w:rsid w:val="6FD31483"/>
    <w:rsid w:val="700C5F0D"/>
    <w:rsid w:val="707029DF"/>
    <w:rsid w:val="70B818B3"/>
    <w:rsid w:val="70F411A0"/>
    <w:rsid w:val="712C4EDD"/>
    <w:rsid w:val="715F051F"/>
    <w:rsid w:val="71760278"/>
    <w:rsid w:val="71C64881"/>
    <w:rsid w:val="71D23226"/>
    <w:rsid w:val="720531BD"/>
    <w:rsid w:val="722E726B"/>
    <w:rsid w:val="72B43838"/>
    <w:rsid w:val="734343DB"/>
    <w:rsid w:val="736A5E0C"/>
    <w:rsid w:val="73FF6407"/>
    <w:rsid w:val="74343D24"/>
    <w:rsid w:val="743B7522"/>
    <w:rsid w:val="74433F64"/>
    <w:rsid w:val="7551435A"/>
    <w:rsid w:val="756845CD"/>
    <w:rsid w:val="77A9044B"/>
    <w:rsid w:val="77B75398"/>
    <w:rsid w:val="77E3618D"/>
    <w:rsid w:val="78825061"/>
    <w:rsid w:val="78AA546E"/>
    <w:rsid w:val="793B7D81"/>
    <w:rsid w:val="794A5D98"/>
    <w:rsid w:val="795C61F7"/>
    <w:rsid w:val="797352EE"/>
    <w:rsid w:val="7A285A73"/>
    <w:rsid w:val="7A6F3D08"/>
    <w:rsid w:val="7B89704B"/>
    <w:rsid w:val="7C0C4FF4"/>
    <w:rsid w:val="7C1D7681"/>
    <w:rsid w:val="7C2E3AAE"/>
    <w:rsid w:val="7D2800B2"/>
    <w:rsid w:val="7D562F5D"/>
    <w:rsid w:val="7DBB62E2"/>
    <w:rsid w:val="7DD148FB"/>
    <w:rsid w:val="7E1C02DA"/>
    <w:rsid w:val="7E590F57"/>
    <w:rsid w:val="7E696BA1"/>
    <w:rsid w:val="7E6E3B60"/>
    <w:rsid w:val="7ED77656"/>
    <w:rsid w:val="7F862366"/>
    <w:rsid w:val="7F864EDA"/>
    <w:rsid w:val="7FC462DB"/>
    <w:rsid w:val="7FCA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字符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3">
    <w:name w:val="font21"/>
    <w:basedOn w:val="8"/>
    <w:qFormat/>
    <w:uiPriority w:val="0"/>
    <w:rPr>
      <w:rFonts w:hint="eastAsia" w:ascii="宋体" w:hAnsi="宋体" w:eastAsia="宋体"/>
      <w:b/>
      <w:bCs/>
      <w:color w:val="000000"/>
      <w:sz w:val="18"/>
      <w:szCs w:val="18"/>
      <w:u w:val="none"/>
    </w:rPr>
  </w:style>
  <w:style w:type="character" w:customStyle="1" w:styleId="14">
    <w:name w:val="font11"/>
    <w:basedOn w:val="8"/>
    <w:qFormat/>
    <w:uiPriority w:val="0"/>
    <w:rPr>
      <w:rFonts w:hint="eastAsia" w:ascii="宋体" w:hAnsi="宋体" w:eastAsia="宋体"/>
      <w:color w:val="000000"/>
      <w:sz w:val="18"/>
      <w:szCs w:val="18"/>
      <w:u w:val="none"/>
    </w:rPr>
  </w:style>
  <w:style w:type="character" w:customStyle="1" w:styleId="15">
    <w:name w:val="font0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41"/>
    <w:basedOn w:val="8"/>
    <w:qFormat/>
    <w:uiPriority w:val="0"/>
    <w:rPr>
      <w:rFonts w:ascii="Arial" w:hAnsi="Arial" w:cs="Arial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B3FA11-1A89-484A-A020-250BDAD80F6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7004</Words>
  <Characters>10521</Characters>
  <Lines>21</Lines>
  <Paragraphs>6</Paragraphs>
  <TotalTime>2</TotalTime>
  <ScaleCrop>false</ScaleCrop>
  <LinksUpToDate>false</LinksUpToDate>
  <CharactersWithSpaces>10712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2019-10-15T08:19:00Z</dcterms:created>
  <dc:creator>A01</dc:creator>
  <cp:lastModifiedBy>mieeeee</cp:lastModifiedBy>
  <cp:lastPrinted>2018-07-02T03:07:00Z</cp:lastPrinted>
  <dcterms:modified xsi:type="dcterms:W3CDTF">2023-11-09T09:58:55Z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89329C362F244D8F891143DBFB7B7E53_13</vt:lpwstr>
  </property>
</Properties>
</file>